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BCD297">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62058BAC">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12430922MB1L4133XD</w:t>
      </w:r>
      <w:r>
        <w:rPr>
          <w:rFonts w:eastAsia="楷体_GB2312"/>
          <w:b/>
          <w:bCs/>
          <w:sz w:val="30"/>
          <w:szCs w:val="24"/>
          <w:lang w:val="en-US"/>
        </w:rPr>
        <w:t xml:space="preserve">   </w:t>
      </w:r>
    </w:p>
    <w:p w14:paraId="2B3667CA">
      <w:pPr>
        <w:jc w:val="right"/>
        <w:rPr>
          <w:lang w:val="en-US"/>
        </w:rPr>
      </w:pPr>
    </w:p>
    <w:p w14:paraId="206B9849">
      <w:pPr>
        <w:jc w:val="right"/>
        <w:rPr>
          <w:lang w:val="en-US"/>
        </w:rPr>
      </w:pPr>
    </w:p>
    <w:p w14:paraId="55A02652">
      <w:pPr>
        <w:jc w:val="right"/>
        <w:rPr>
          <w:lang w:val="en-US"/>
        </w:rPr>
      </w:pPr>
    </w:p>
    <w:p w14:paraId="0EA272FF">
      <w:pPr>
        <w:jc w:val="right"/>
        <w:rPr>
          <w:lang w:val="en-US"/>
        </w:rPr>
      </w:pPr>
    </w:p>
    <w:p w14:paraId="06A135DC">
      <w:pPr>
        <w:jc w:val="right"/>
        <w:rPr>
          <w:lang w:val="en-US"/>
        </w:rPr>
      </w:pPr>
    </w:p>
    <w:p w14:paraId="4C92FD5D">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F497A80">
      <w:pPr>
        <w:jc w:val="center"/>
        <w:rPr>
          <w:rFonts w:eastAsia="黑体"/>
          <w:b/>
          <w:bCs/>
          <w:spacing w:val="30"/>
          <w:lang w:val="en-US"/>
        </w:rPr>
      </w:pPr>
    </w:p>
    <w:p w14:paraId="2D3D845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2576D73">
      <w:pPr>
        <w:jc w:val="center"/>
        <w:rPr>
          <w:sz w:val="36"/>
          <w:szCs w:val="24"/>
          <w:lang w:val="en-US"/>
        </w:rPr>
      </w:pPr>
    </w:p>
    <w:p w14:paraId="6C988D6B">
      <w:pPr>
        <w:jc w:val="center"/>
        <w:rPr>
          <w:sz w:val="36"/>
          <w:szCs w:val="24"/>
          <w:lang w:val="en-US"/>
        </w:rPr>
      </w:pPr>
    </w:p>
    <w:p w14:paraId="465F08BA">
      <w:pPr>
        <w:jc w:val="center"/>
        <w:rPr>
          <w:sz w:val="36"/>
          <w:szCs w:val="24"/>
          <w:lang w:val="en-US"/>
        </w:rPr>
      </w:pPr>
    </w:p>
    <w:p w14:paraId="5E9504C4">
      <w:pPr>
        <w:jc w:val="center"/>
        <w:rPr>
          <w:sz w:val="36"/>
          <w:szCs w:val="24"/>
          <w:lang w:val="en-US"/>
        </w:rPr>
      </w:pPr>
    </w:p>
    <w:p w14:paraId="4061EA82">
      <w:pPr>
        <w:jc w:val="center"/>
        <w:rPr>
          <w:sz w:val="36"/>
          <w:szCs w:val="24"/>
          <w:lang w:val="en-US"/>
        </w:rPr>
      </w:pPr>
    </w:p>
    <w:p w14:paraId="77EF883B">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AED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94FA4A3">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166D5FE1">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桃江县粮食购销执法大队</w:t>
            </w:r>
          </w:p>
        </w:tc>
      </w:tr>
    </w:tbl>
    <w:p w14:paraId="5E90C12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631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FC29AB1">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E71BCDD">
            <w:pPr>
              <w:keepNext w:val="0"/>
              <w:keepLines w:val="0"/>
              <w:widowControl/>
              <w:suppressLineNumbers w:val="0"/>
              <w:jc w:val="left"/>
              <w:rPr>
                <w:kern w:val="0"/>
                <w:sz w:val="20"/>
                <w:szCs w:val="20"/>
                <w:bdr w:val="none" w:color="auto" w:sz="0" w:space="0"/>
                <w:lang w:val="en-US"/>
              </w:rPr>
            </w:pPr>
          </w:p>
        </w:tc>
      </w:tr>
    </w:tbl>
    <w:p w14:paraId="13E4EA14">
      <w:pPr>
        <w:ind w:left="0" w:firstLine="723" w:firstLineChars="300"/>
        <w:rPr>
          <w:rFonts w:hint="eastAsia" w:ascii="黑体" w:hAnsi="宋体" w:eastAsia="黑体" w:cs="黑体"/>
          <w:b/>
          <w:bCs/>
          <w:sz w:val="24"/>
          <w:szCs w:val="24"/>
          <w:u w:val="single"/>
          <w:lang w:val="en-US"/>
        </w:rPr>
      </w:pPr>
    </w:p>
    <w:p w14:paraId="0561F15A">
      <w:pPr>
        <w:jc w:val="center"/>
        <w:rPr>
          <w:rFonts w:hint="eastAsia" w:ascii="黑体" w:hAnsi="宋体" w:eastAsia="黑体" w:cs="黑体"/>
          <w:b/>
          <w:bCs/>
          <w:sz w:val="30"/>
          <w:szCs w:val="24"/>
          <w:u w:val="single"/>
          <w:lang w:val="en-US"/>
        </w:rPr>
      </w:pPr>
    </w:p>
    <w:p w14:paraId="03CF667B">
      <w:pPr>
        <w:jc w:val="center"/>
        <w:rPr>
          <w:rFonts w:hint="eastAsia" w:ascii="黑体" w:hAnsi="宋体" w:eastAsia="黑体" w:cs="黑体"/>
          <w:b/>
          <w:bCs/>
          <w:sz w:val="30"/>
          <w:szCs w:val="24"/>
          <w:u w:val="single"/>
          <w:lang w:val="en-US"/>
        </w:rPr>
      </w:pPr>
    </w:p>
    <w:p w14:paraId="5477A29B">
      <w:pPr>
        <w:jc w:val="center"/>
        <w:rPr>
          <w:u w:val="single"/>
          <w:lang w:val="en-US"/>
        </w:rPr>
      </w:pPr>
    </w:p>
    <w:p w14:paraId="22D0FDED">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4EE94C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0E0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77E92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CBB511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0EA7A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70150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F293F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64676F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4E589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5E31FD9">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桃江县粮食购销执法大队</w:t>
            </w:r>
          </w:p>
        </w:tc>
      </w:tr>
      <w:tr w14:paraId="0299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CDEA94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B726D2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12212D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FE037AD">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宗旨和业务范围是“为粮食管理提供执法监管保障。加强对地方储备粮、粮食库存、粮食质量和收购市场的监管力度，建立和完善粮食质量检验检测体系对粮食经营者从事粮食收购、储存、运输活动和政策性用粮的购销活动以及执行国家粮食流通统计制度的情况进行监督检查”。</w:t>
            </w:r>
          </w:p>
        </w:tc>
      </w:tr>
      <w:tr w14:paraId="5594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66EDCF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25A6F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8812593">
            <w:pPr>
              <w:jc w:val="left"/>
            </w:pPr>
            <w:r>
              <w:rPr>
                <w:rStyle w:val="20"/>
                <w:rFonts w:hint="eastAsia" w:ascii="楷体_GB2312" w:eastAsia="楷体_GB2312" w:cs="楷体_GB2312"/>
                <w:sz w:val="28"/>
                <w:szCs w:val="28"/>
                <w:bdr w:val="none" w:color="auto" w:sz="0" w:space="0"/>
                <w:lang w:val="en-US"/>
              </w:rPr>
              <w:t>桃江县桃花江镇建设路9号</w:t>
            </w:r>
          </w:p>
        </w:tc>
      </w:tr>
      <w:tr w14:paraId="0F03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331E83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B3016B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AAD7441">
            <w:pPr>
              <w:jc w:val="left"/>
            </w:pPr>
            <w:r>
              <w:rPr>
                <w:rStyle w:val="20"/>
                <w:rFonts w:hint="eastAsia" w:ascii="楷体_GB2312" w:eastAsia="楷体_GB2312" w:cs="楷体_GB2312"/>
                <w:sz w:val="28"/>
                <w:szCs w:val="28"/>
                <w:bdr w:val="none" w:color="auto" w:sz="0" w:space="0"/>
                <w:lang w:val="en-US"/>
              </w:rPr>
              <w:t>孙靖</w:t>
            </w:r>
          </w:p>
        </w:tc>
      </w:tr>
      <w:tr w14:paraId="722D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7DA835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DD604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FBB399E">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10</w:t>
            </w:r>
            <w:r>
              <w:rPr>
                <w:rStyle w:val="20"/>
                <w:rFonts w:hint="eastAsia" w:ascii="楷体_GB2312" w:eastAsia="楷体_GB2312" w:cs="楷体_GB2312"/>
                <w:sz w:val="28"/>
                <w:szCs w:val="28"/>
                <w:bdr w:val="none" w:color="auto" w:sz="0" w:space="0"/>
              </w:rPr>
              <w:t>（万元）</w:t>
            </w:r>
          </w:p>
        </w:tc>
      </w:tr>
      <w:tr w14:paraId="28AD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118B80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B57F9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2A99412">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5994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1101C2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CE1C1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83FD7DF">
            <w:pPr>
              <w:jc w:val="left"/>
            </w:pPr>
            <w:r>
              <w:rPr>
                <w:rStyle w:val="20"/>
                <w:rFonts w:hint="eastAsia" w:ascii="楷体_GB2312" w:eastAsia="楷体_GB2312" w:cs="楷体_GB2312"/>
                <w:sz w:val="28"/>
                <w:szCs w:val="28"/>
                <w:bdr w:val="none" w:color="auto" w:sz="0" w:space="0"/>
                <w:lang w:val="en-US"/>
              </w:rPr>
              <w:t>桃江县发展和改革局</w:t>
            </w:r>
          </w:p>
        </w:tc>
      </w:tr>
      <w:tr w14:paraId="7E7E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E61D58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F44F7E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037DB94F">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4828CB4">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1CAA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E55BB8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EA94C7E">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6F25DEF">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4976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A3E9BC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4835EBF">
            <w:pPr>
              <w:jc w:val="center"/>
              <w:rPr>
                <w:sz w:val="32"/>
                <w:szCs w:val="24"/>
                <w:bdr w:val="none" w:color="auto" w:sz="0" w:space="0"/>
                <w:lang w:val="en-US"/>
              </w:rPr>
            </w:pPr>
            <w:r>
              <w:rPr>
                <w:rStyle w:val="19"/>
                <w:sz w:val="32"/>
                <w:szCs w:val="24"/>
                <w:bdr w:val="none" w:color="auto" w:sz="0" w:space="0"/>
                <w:lang w:val="en-US"/>
              </w:rPr>
              <w:t>10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6024BB5">
            <w:pPr>
              <w:jc w:val="center"/>
            </w:pPr>
            <w:r>
              <w:rPr>
                <w:rStyle w:val="20"/>
                <w:sz w:val="32"/>
                <w:szCs w:val="32"/>
                <w:bdr w:val="none" w:color="auto" w:sz="0" w:space="0"/>
                <w:lang w:val="en-US"/>
              </w:rPr>
              <w:t>10</w:t>
            </w:r>
          </w:p>
        </w:tc>
      </w:tr>
      <w:tr w14:paraId="1557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774D124">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C19706A">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桃江县粮食购销执法大队。公益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4F87907">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E84D200">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4</w:t>
            </w:r>
          </w:p>
        </w:tc>
      </w:tr>
      <w:tr w14:paraId="285A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CFDA7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79EBBA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B2222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B632A3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646219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5DC78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F7183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ABCBA0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C355568">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2020年1月15日完成设立登记，法人代表为文飞辉。</w:t>
            </w:r>
          </w:p>
        </w:tc>
      </w:tr>
      <w:tr w14:paraId="5A55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AD702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5FD98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60664C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C1A635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A80A5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D6497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0EC72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0C8EBBF">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D1C861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一、落实粮食安全责任，提高粮食安全意识 督促粮油购销有限公司将习近平总书记关于粮食安全作出的重要指示精神内容、《粮食流通管理条例》、《湖南省地方储备粮管理办法》等相关文件纳入理论学习内容，不断增强粮食安全意识。以粮安考核为抓手，抓好粮食安全责任制考核。 二、落实粮食收购政策，保护农民种粮积极性 上半年，辖区粮食经营主体及经纪人共收购稻谷？万吨，未出现农民卖粮难问题和“打白条”现象，保护了农民切身利益。 三、完善地方储备体系，增强粮食应急调控能力 开展县级储备粮轮换。严格事中事后监管，坚持轮出轮入全程管控、规范操作，较好完成了粮食储备库5000吨县级储备粮轮换。 四、实施安全保障工程，增强粮食流通能力 积极开展粮食质量检查工作。3月份开始，我大队组织专班深入浮邱山乡梅林寺骨干库区、牛田镇金光山库区、大栗港三农米业、修山羞山米业、灰山港金丰米业、金穗米业、三堂街诚信米业、武潭大米厂，进行常态化督查。 五、强化监管与宣传工作，落实质量安全责任 一是持续抓好“两个安全”工作。 二是认真落实县级联合巡查和节假日突击检查制度。 三是开展粮食流通市场“双随机一公开”联合检查。 </w:t>
            </w:r>
          </w:p>
          <w:p w14:paraId="6893DD0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223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FED76C3">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45E3DAE">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587F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359092D">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69A8A99B">
            <w:pPr>
              <w:jc w:val="left"/>
            </w:pPr>
            <w:r>
              <w:rPr>
                <w:rStyle w:val="20"/>
                <w:rFonts w:hint="eastAsia" w:ascii="楷体_GB2312" w:eastAsia="楷体_GB2312" w:cs="楷体_GB2312"/>
                <w:sz w:val="28"/>
                <w:szCs w:val="28"/>
                <w:bdr w:val="none" w:color="auto" w:sz="0" w:space="0"/>
                <w:lang w:val="en-US"/>
              </w:rPr>
              <w:t>绩效考核为合格，无诉讼情况。</w:t>
            </w:r>
          </w:p>
        </w:tc>
      </w:tr>
      <w:tr w14:paraId="79A0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BC98139">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32B1EA2">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6D7F2AC">
            <w:pPr>
              <w:jc w:val="left"/>
            </w:pPr>
            <w:r>
              <w:rPr>
                <w:rStyle w:val="20"/>
                <w:rFonts w:hint="eastAsia" w:ascii="楷体_GB2312" w:eastAsia="楷体_GB2312" w:cs="楷体_GB2312"/>
                <w:sz w:val="28"/>
                <w:szCs w:val="28"/>
                <w:bdr w:val="none" w:color="auto" w:sz="0" w:space="0"/>
                <w:lang w:val="en-US"/>
              </w:rPr>
              <w:t>无</w:t>
            </w:r>
          </w:p>
        </w:tc>
      </w:tr>
    </w:tbl>
    <w:p w14:paraId="105CE95E">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9DB39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935</Words>
  <Characters>980</Characters>
  <Lines>4</Lines>
  <Paragraphs>1</Paragraphs>
  <TotalTime>45456.4062500016</TotalTime>
  <ScaleCrop>false</ScaleCrop>
  <LinksUpToDate>false</LinksUpToDate>
  <CharactersWithSpaces>1027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2024-06-13T01:54:07Z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EED1762158BF41289081F6642C405FE7_13</vt:lpwstr>
  </property>
</Properties>
</file>