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0DB1BFE">
      <w:pPr>
        <w:wordWrap w:val="0"/>
        <w:jc w:val="right"/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</w:pPr>
      <w:r>
        <w:rPr>
          <w:rFonts w:hint="eastAsia" w:ascii="楷体_GB2312" w:eastAsia="楷体_GB2312" w:cs="楷体_GB2312"/>
          <w:b/>
          <w:bCs w:val="0"/>
          <w:sz w:val="30"/>
          <w:szCs w:val="24"/>
          <w:lang w:eastAsia="zh-CN"/>
        </w:rPr>
        <w:t>统一社会信用代码</w:t>
      </w:r>
      <w:r>
        <w:rPr>
          <w:rFonts w:hint="eastAsia" w:ascii="楷体_GB2312" w:eastAsia="楷体_GB2312" w:cs="楷体_GB2312"/>
          <w:b/>
          <w:bCs w:val="0"/>
          <w:sz w:val="30"/>
          <w:szCs w:val="24"/>
          <w:lang w:val="en-US"/>
        </w:rPr>
        <w:t xml:space="preserve">   </w:t>
      </w:r>
    </w:p>
    <w:p w14:paraId="7A1D7457">
      <w:pPr>
        <w:wordWrap w:val="0"/>
        <w:jc w:val="right"/>
        <w:rPr>
          <w:rFonts w:eastAsia="楷体_GB2312"/>
          <w:b/>
          <w:bCs/>
          <w:sz w:val="30"/>
          <w:szCs w:val="24"/>
          <w:lang w:val="en-US"/>
        </w:rPr>
      </w:pP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  <w:r>
        <w:rPr>
          <w:rStyle w:val="19"/>
          <w:b/>
          <w:bCs/>
          <w:sz w:val="30"/>
          <w:szCs w:val="30"/>
          <w:lang w:val="en-US"/>
        </w:rPr>
        <w:t>12430922MB1A497963</w:t>
      </w:r>
      <w:r>
        <w:rPr>
          <w:rFonts w:eastAsia="楷体_GB2312"/>
          <w:b/>
          <w:bCs/>
          <w:sz w:val="30"/>
          <w:szCs w:val="24"/>
          <w:lang w:val="en-US"/>
        </w:rPr>
        <w:t xml:space="preserve">   </w:t>
      </w:r>
    </w:p>
    <w:p w14:paraId="7CC1EBF7">
      <w:pPr>
        <w:jc w:val="right"/>
        <w:rPr>
          <w:lang w:val="en-US"/>
        </w:rPr>
      </w:pPr>
    </w:p>
    <w:p w14:paraId="1461D2BA">
      <w:pPr>
        <w:jc w:val="right"/>
        <w:rPr>
          <w:lang w:val="en-US"/>
        </w:rPr>
      </w:pPr>
    </w:p>
    <w:p w14:paraId="4AE8ED62">
      <w:pPr>
        <w:jc w:val="right"/>
        <w:rPr>
          <w:lang w:val="en-US"/>
        </w:rPr>
      </w:pPr>
    </w:p>
    <w:p w14:paraId="24DD03EE">
      <w:pPr>
        <w:jc w:val="right"/>
        <w:rPr>
          <w:lang w:val="en-US"/>
        </w:rPr>
      </w:pPr>
    </w:p>
    <w:p w14:paraId="182E127F">
      <w:pPr>
        <w:jc w:val="right"/>
        <w:rPr>
          <w:lang w:val="en-US"/>
        </w:rPr>
      </w:pPr>
    </w:p>
    <w:p w14:paraId="11672FD8">
      <w:pPr>
        <w:jc w:val="center"/>
        <w:rPr>
          <w:rFonts w:eastAsia="黑体"/>
          <w:b/>
          <w:bCs/>
          <w:spacing w:val="40"/>
          <w:sz w:val="52"/>
          <w:szCs w:val="24"/>
          <w:lang w:val="en-US"/>
        </w:rPr>
      </w:pPr>
      <w:r>
        <w:rPr>
          <w:rFonts w:hint="eastAsia" w:ascii="Times New Roman" w:hAnsi="宋体" w:eastAsia="黑体" w:cs="黑体"/>
          <w:b/>
          <w:bCs/>
          <w:spacing w:val="40"/>
          <w:sz w:val="52"/>
          <w:szCs w:val="24"/>
          <w:lang w:eastAsia="zh-CN"/>
        </w:rPr>
        <w:t>事业单位法人年度报告书</w:t>
      </w:r>
    </w:p>
    <w:p w14:paraId="6798412D">
      <w:pPr>
        <w:jc w:val="center"/>
        <w:rPr>
          <w:rFonts w:eastAsia="黑体"/>
          <w:b/>
          <w:bCs/>
          <w:spacing w:val="30"/>
          <w:lang w:val="en-US"/>
        </w:rPr>
      </w:pPr>
    </w:p>
    <w:p w14:paraId="5C1ABBDD">
      <w:pPr>
        <w:jc w:val="center"/>
        <w:rPr>
          <w:rFonts w:eastAsia="楷体_GB2312"/>
          <w:b/>
          <w:bCs/>
          <w:spacing w:val="30"/>
          <w:sz w:val="36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（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Style w:val="19"/>
          <w:b/>
          <w:bCs/>
          <w:sz w:val="30"/>
          <w:szCs w:val="30"/>
          <w:lang w:val="en-US"/>
        </w:rPr>
        <w:t>2023</w:t>
      </w:r>
      <w:r>
        <w:rPr>
          <w:rFonts w:eastAsia="楷体_GB2312"/>
          <w:b/>
          <w:bCs/>
          <w:spacing w:val="30"/>
          <w:sz w:val="36"/>
          <w:szCs w:val="24"/>
          <w:lang w:val="en-US"/>
        </w:rPr>
        <w:t xml:space="preserve">  </w:t>
      </w:r>
      <w:r>
        <w:rPr>
          <w:rFonts w:hint="eastAsia" w:ascii="Times New Roman" w:eastAsia="楷体_GB2312" w:cs="楷体_GB2312"/>
          <w:b/>
          <w:bCs/>
          <w:spacing w:val="30"/>
          <w:sz w:val="36"/>
          <w:szCs w:val="24"/>
          <w:lang w:eastAsia="zh-CN"/>
        </w:rPr>
        <w:t>年度）</w:t>
      </w:r>
    </w:p>
    <w:p w14:paraId="7B0D3E4F">
      <w:pPr>
        <w:jc w:val="center"/>
        <w:rPr>
          <w:sz w:val="36"/>
          <w:szCs w:val="24"/>
          <w:lang w:val="en-US"/>
        </w:rPr>
      </w:pPr>
    </w:p>
    <w:p w14:paraId="7EA14F89">
      <w:pPr>
        <w:jc w:val="center"/>
        <w:rPr>
          <w:sz w:val="36"/>
          <w:szCs w:val="24"/>
          <w:lang w:val="en-US"/>
        </w:rPr>
      </w:pPr>
    </w:p>
    <w:p w14:paraId="1FE4839F">
      <w:pPr>
        <w:jc w:val="center"/>
        <w:rPr>
          <w:sz w:val="36"/>
          <w:szCs w:val="24"/>
          <w:lang w:val="en-US"/>
        </w:rPr>
      </w:pPr>
    </w:p>
    <w:p w14:paraId="7B8B7B05">
      <w:pPr>
        <w:jc w:val="center"/>
        <w:rPr>
          <w:sz w:val="36"/>
          <w:szCs w:val="24"/>
          <w:lang w:val="en-US"/>
        </w:rPr>
      </w:pPr>
    </w:p>
    <w:p w14:paraId="3E89264C">
      <w:pPr>
        <w:jc w:val="center"/>
        <w:rPr>
          <w:sz w:val="36"/>
          <w:szCs w:val="24"/>
          <w:lang w:val="en-US"/>
        </w:rPr>
      </w:pPr>
    </w:p>
    <w:p w14:paraId="529E974C">
      <w:pPr>
        <w:jc w:val="center"/>
        <w:rPr>
          <w:sz w:val="36"/>
          <w:szCs w:val="24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5294"/>
      </w:tblGrid>
      <w:tr w14:paraId="366D14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05" w:type="dxa"/>
            <w:shd w:val="clear"/>
            <w:vAlign w:val="bottom"/>
          </w:tcPr>
          <w:p w14:paraId="5AF9EEEE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单 位 名 称</w:t>
            </w:r>
          </w:p>
        </w:tc>
        <w:tc>
          <w:tcPr>
            <w:tcW w:w="529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327060AB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  <w:t>桃江县粮食质量检测站</w:t>
            </w:r>
          </w:p>
        </w:tc>
      </w:tr>
    </w:tbl>
    <w:p w14:paraId="65ADCF4F">
      <w:pPr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tbl>
      <w:tblPr>
        <w:tblStyle w:val="12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65"/>
        <w:gridCol w:w="5254"/>
      </w:tblGrid>
      <w:tr w14:paraId="3BBF89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365" w:type="dxa"/>
            <w:shd w:val="clear"/>
            <w:vAlign w:val="bottom"/>
          </w:tcPr>
          <w:p w14:paraId="3B27A9BD">
            <w:pPr>
              <w:jc w:val="distribute"/>
            </w:pP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法</w:t>
            </w:r>
            <w:r>
              <w:rPr>
                <w:rStyle w:val="15"/>
                <w:b/>
                <w:bCs/>
                <w:spacing w:val="30"/>
                <w:sz w:val="36"/>
                <w:szCs w:val="24"/>
                <w:bdr w:val="none" w:color="auto" w:sz="0" w:space="0"/>
              </w:rPr>
              <w:t>定代表</w:t>
            </w:r>
            <w:r>
              <w:rPr>
                <w:rStyle w:val="15"/>
                <w:b/>
                <w:bCs/>
                <w:sz w:val="36"/>
                <w:szCs w:val="24"/>
                <w:bdr w:val="none" w:color="auto" w:sz="0" w:space="0"/>
              </w:rPr>
              <w:t>人</w:t>
            </w:r>
          </w:p>
        </w:tc>
        <w:tc>
          <w:tcPr>
            <w:tcW w:w="5254" w:type="dxa"/>
            <w:tcBorders>
              <w:top w:val="nil"/>
              <w:left w:val="nil"/>
              <w:bottom w:val="single" w:color="auto" w:sz="12" w:space="0"/>
              <w:right w:val="nil"/>
            </w:tcBorders>
            <w:shd w:val="clear"/>
            <w:vAlign w:val="bottom"/>
          </w:tcPr>
          <w:p w14:paraId="45D4DBCD">
            <w:pPr>
              <w:keepNext w:val="0"/>
              <w:keepLines w:val="0"/>
              <w:widowControl/>
              <w:suppressLineNumbers w:val="0"/>
              <w:jc w:val="left"/>
              <w:rPr>
                <w:kern w:val="0"/>
                <w:sz w:val="20"/>
                <w:szCs w:val="20"/>
                <w:bdr w:val="none" w:color="auto" w:sz="0" w:space="0"/>
                <w:lang w:val="en-US"/>
              </w:rPr>
            </w:pPr>
          </w:p>
        </w:tc>
      </w:tr>
    </w:tbl>
    <w:p w14:paraId="37848CC9">
      <w:pPr>
        <w:ind w:left="0" w:firstLine="723" w:firstLineChars="300"/>
        <w:rPr>
          <w:rFonts w:hint="eastAsia" w:ascii="黑体" w:hAnsi="宋体" w:eastAsia="黑体" w:cs="黑体"/>
          <w:b/>
          <w:bCs/>
          <w:sz w:val="24"/>
          <w:szCs w:val="24"/>
          <w:u w:val="single"/>
          <w:lang w:val="en-US"/>
        </w:rPr>
      </w:pPr>
    </w:p>
    <w:p w14:paraId="6B3577B1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9D50D7F">
      <w:pPr>
        <w:jc w:val="center"/>
        <w:rPr>
          <w:rFonts w:hint="eastAsia" w:ascii="黑体" w:hAnsi="宋体" w:eastAsia="黑体" w:cs="黑体"/>
          <w:b/>
          <w:bCs/>
          <w:sz w:val="30"/>
          <w:szCs w:val="24"/>
          <w:u w:val="single"/>
          <w:lang w:val="en-US"/>
        </w:rPr>
      </w:pPr>
    </w:p>
    <w:p w14:paraId="425DC3D7">
      <w:pPr>
        <w:jc w:val="center"/>
        <w:rPr>
          <w:u w:val="single"/>
          <w:lang w:val="en-US"/>
        </w:rPr>
      </w:pPr>
    </w:p>
    <w:p w14:paraId="73741F66">
      <w:pPr>
        <w:jc w:val="center"/>
        <w:rPr>
          <w:rFonts w:eastAsia="楷体_GB2312"/>
          <w:b/>
          <w:bCs/>
          <w:sz w:val="32"/>
          <w:szCs w:val="24"/>
          <w:lang w:val="en-US"/>
        </w:rPr>
      </w:pPr>
      <w:r>
        <w:rPr>
          <w:rFonts w:hint="eastAsia" w:ascii="Times New Roman" w:eastAsia="楷体_GB2312" w:cs="楷体_GB2312"/>
          <w:b/>
          <w:bCs/>
          <w:sz w:val="32"/>
          <w:szCs w:val="24"/>
          <w:lang w:eastAsia="zh-CN"/>
        </w:rPr>
        <w:t>国家事业单位登记管理局制</w:t>
      </w:r>
    </w:p>
    <w:p w14:paraId="5B9B70DB">
      <w:pPr>
        <w:jc w:val="center"/>
        <w:rPr>
          <w:rFonts w:eastAsia="楷体_GB2312"/>
          <w:b/>
          <w:bCs/>
          <w:sz w:val="32"/>
          <w:szCs w:val="24"/>
          <w:lang w:val="en-US"/>
        </w:rPr>
      </w:pPr>
    </w:p>
    <w:tbl>
      <w:tblPr>
        <w:tblStyle w:val="12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2031"/>
        <w:gridCol w:w="1796"/>
        <w:gridCol w:w="1702"/>
        <w:gridCol w:w="2452"/>
      </w:tblGrid>
      <w:tr w14:paraId="74E6D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C8670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《事业</w:t>
            </w:r>
          </w:p>
          <w:p w14:paraId="59F6C20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</w:t>
            </w:r>
          </w:p>
          <w:p w14:paraId="23BF246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法人</w:t>
            </w:r>
          </w:p>
          <w:p w14:paraId="587ADAB3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证书》</w:t>
            </w:r>
          </w:p>
          <w:p w14:paraId="7EC518C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登载</w:t>
            </w:r>
          </w:p>
          <w:p w14:paraId="23EE722D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事项</w:t>
            </w:r>
          </w:p>
        </w:tc>
        <w:tc>
          <w:tcPr>
            <w:tcW w:w="203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672DB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单位名称</w:t>
            </w:r>
          </w:p>
        </w:tc>
        <w:tc>
          <w:tcPr>
            <w:tcW w:w="5949" w:type="dxa"/>
            <w:gridSpan w:val="3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56F9630A">
            <w:pPr>
              <w:spacing w:line="320" w:lineRule="exact"/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桃江县粮食质量检测站</w:t>
            </w:r>
          </w:p>
        </w:tc>
      </w:tr>
      <w:tr w14:paraId="778FB5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7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3D65FD0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3DC15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宗旨和</w:t>
            </w:r>
          </w:p>
          <w:p w14:paraId="7D8D36A1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业务范围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4DDF3EE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承担全县粮食质量安全调查、品质测报和监测，开展相关检验把关服务，承担企业粮食质检能力认定具体工作，协助支持省级粮食质量监测中心开展相关业务工作，承担下乡、进企业抽样和原始样品转送等工作。</w:t>
            </w:r>
          </w:p>
        </w:tc>
      </w:tr>
      <w:tr w14:paraId="40254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E6D7E6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B3BE6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住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所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1FB091D6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湖南省益阳市桃江县建设路9号</w:t>
            </w:r>
          </w:p>
        </w:tc>
      </w:tr>
      <w:tr w14:paraId="09ED1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5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2E3252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53CAF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法定代表人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E2E2122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文飞辉</w:t>
            </w:r>
          </w:p>
        </w:tc>
      </w:tr>
      <w:tr w14:paraId="4F8F5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EAE0B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874C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开办资金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56ED7453">
            <w:pPr>
              <w:jc w:val="lef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10</w:t>
            </w: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</w:rPr>
              <w:t>（万元）</w:t>
            </w:r>
          </w:p>
        </w:tc>
      </w:tr>
      <w:tr w14:paraId="0FE32E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401954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7D0818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经费来源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44D29EE">
            <w:pPr>
              <w:jc w:val="left"/>
              <w:rPr>
                <w:sz w:val="32"/>
                <w:szCs w:val="32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财政补助</w:t>
            </w:r>
          </w:p>
        </w:tc>
      </w:tr>
      <w:tr w14:paraId="6EA6C0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1560" w:type="dxa"/>
            <w:vMerge w:val="continue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7718E7A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A55F12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举办单位</w:t>
            </w:r>
          </w:p>
        </w:tc>
        <w:tc>
          <w:tcPr>
            <w:tcW w:w="59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C9954F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桃江县发展和改革局</w:t>
            </w:r>
          </w:p>
        </w:tc>
      </w:tr>
      <w:tr w14:paraId="313BC3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1DDFE3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资产</w:t>
            </w:r>
          </w:p>
          <w:p w14:paraId="77A498E8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b/>
                <w:bCs w:val="0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损益</w:t>
            </w:r>
          </w:p>
          <w:p w14:paraId="402020C7">
            <w:pPr>
              <w:keepNext w:val="0"/>
              <w:keepLines w:val="0"/>
              <w:widowControl/>
              <w:suppressLineNumbers w:val="0"/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 w:val="0"/>
                <w:sz w:val="32"/>
                <w:szCs w:val="24"/>
                <w:bdr w:val="none" w:color="auto" w:sz="0" w:space="0"/>
              </w:rPr>
              <w:t>情况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324EF42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净资产合计（所有者权益合计）</w:t>
            </w:r>
          </w:p>
        </w:tc>
      </w:tr>
      <w:tr w14:paraId="34A8E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57CE5D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2C89B0B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年初数（万元）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27927305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rFonts w:hint="eastAsia" w:ascii="Times New Roman" w:eastAsia="楷体_GB2312" w:cs="楷体_GB2312"/>
                <w:sz w:val="32"/>
                <w:szCs w:val="24"/>
                <w:bdr w:val="none" w:color="auto" w:sz="0" w:space="0"/>
              </w:rPr>
              <w:t>年末数（万元）</w:t>
            </w:r>
          </w:p>
        </w:tc>
      </w:tr>
      <w:tr w14:paraId="5B771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8" w:hRule="atLeast"/>
        </w:trPr>
        <w:tc>
          <w:tcPr>
            <w:tcW w:w="156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59620E">
            <w:pPr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41BD5D">
            <w:pPr>
              <w:jc w:val="center"/>
              <w:rPr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10</w:t>
            </w:r>
          </w:p>
        </w:tc>
        <w:tc>
          <w:tcPr>
            <w:tcW w:w="415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901164A">
            <w:pPr>
              <w:jc w:val="center"/>
            </w:pPr>
            <w:r>
              <w:rPr>
                <w:rStyle w:val="14"/>
                <w:sz w:val="32"/>
                <w:szCs w:val="32"/>
                <w:bdr w:val="none" w:color="auto" w:sz="0" w:space="0"/>
                <w:lang w:val="en-US"/>
              </w:rPr>
              <w:t>10</w:t>
            </w:r>
          </w:p>
        </w:tc>
      </w:tr>
      <w:tr w14:paraId="3F347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23E154">
            <w:pPr>
              <w:jc w:val="center"/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网上名称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C8D92E4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>桃江县粮食质量检测站。公益</w:t>
            </w:r>
          </w:p>
        </w:tc>
        <w:tc>
          <w:tcPr>
            <w:tcW w:w="17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B4907C">
            <w:pPr>
              <w:jc w:val="center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楷体_GB2312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从业人数</w:t>
            </w:r>
          </w:p>
        </w:tc>
        <w:tc>
          <w:tcPr>
            <w:tcW w:w="2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center"/>
          </w:tcPr>
          <w:p w14:paraId="1389B57A">
            <w:pPr>
              <w:spacing w:line="0" w:lineRule="atLeast"/>
              <w:jc w:val="left"/>
              <w:rPr>
                <w:rFonts w:hint="eastAsia" w:ascii="楷体_GB2312" w:eastAsia="楷体_GB2312" w:cs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Style w:val="20"/>
                <w:sz w:val="32"/>
                <w:szCs w:val="24"/>
                <w:bdr w:val="none" w:color="auto" w:sz="0" w:space="0"/>
                <w:lang w:val="en-US"/>
              </w:rPr>
              <w:t>4</w:t>
            </w:r>
          </w:p>
        </w:tc>
      </w:tr>
      <w:tr w14:paraId="3D520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4EF63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对《条</w:t>
            </w:r>
          </w:p>
          <w:p w14:paraId="547B0F2D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例》和</w:t>
            </w:r>
          </w:p>
          <w:p w14:paraId="6B9286B6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实施细</w:t>
            </w:r>
          </w:p>
          <w:p w14:paraId="3AA48BB9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则有关</w:t>
            </w:r>
          </w:p>
          <w:p w14:paraId="7FF71D3E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变更登</w:t>
            </w:r>
          </w:p>
          <w:p w14:paraId="75444D40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记规定</w:t>
            </w:r>
          </w:p>
          <w:p w14:paraId="6526B95C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的执行</w:t>
            </w:r>
          </w:p>
          <w:p w14:paraId="28AC47B3">
            <w:pPr>
              <w:jc w:val="center"/>
              <w:rPr>
                <w:rFonts w:eastAsia="楷体_GB2312"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770E2ADA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2020年1月15日完成设立登记，法定代表人为文飞辉。</w:t>
            </w:r>
          </w:p>
        </w:tc>
      </w:tr>
      <w:tr w14:paraId="18BAE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5651607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开</w:t>
            </w:r>
          </w:p>
          <w:p w14:paraId="16CEBCD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展</w:t>
            </w:r>
          </w:p>
          <w:p w14:paraId="238729E5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业</w:t>
            </w:r>
          </w:p>
          <w:p w14:paraId="3DBF317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务</w:t>
            </w:r>
          </w:p>
          <w:p w14:paraId="3647F8A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活</w:t>
            </w:r>
          </w:p>
          <w:p w14:paraId="4FBCE7DA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动</w:t>
            </w:r>
          </w:p>
          <w:p w14:paraId="65427752">
            <w:pPr>
              <w:jc w:val="center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</w:p>
          <w:p w14:paraId="08C948A6">
            <w:pPr>
              <w:jc w:val="center"/>
              <w:rPr>
                <w:u w:val="single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3D94943C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 xml:space="preserve">2023年度质检站下乡到各乡镇种粮大户、加工企业及合作社按规定稻谷迁样检测，全年样品送送省、市检测部门多次。各乡镇也可送样来我站随时检测。 </w:t>
            </w:r>
          </w:p>
          <w:p w14:paraId="4ADD6949">
            <w:pPr>
              <w:autoSpaceDE w:val="0"/>
              <w:autoSpaceDN w:val="0"/>
              <w:adjustRightInd w:val="0"/>
              <w:snapToGrid w:val="0"/>
              <w:spacing w:line="360" w:lineRule="auto"/>
              <w:rPr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</w:pPr>
          </w:p>
        </w:tc>
      </w:tr>
      <w:tr w14:paraId="35191E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atLeast"/>
        </w:trPr>
        <w:tc>
          <w:tcPr>
            <w:tcW w:w="156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F1C2031">
            <w:pP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相关资质认可或执业许可证明文件及有效期</w:t>
            </w:r>
          </w:p>
        </w:tc>
        <w:tc>
          <w:tcPr>
            <w:tcW w:w="798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0AC82070">
            <w:pPr>
              <w:spacing w:line="320" w:lineRule="exact"/>
              <w:rPr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4"/>
                <w:bdr w:val="none" w:color="auto" w:sz="0" w:space="0"/>
                <w:lang w:val="en-US"/>
              </w:rPr>
              <w:t>无</w:t>
            </w:r>
          </w:p>
        </w:tc>
      </w:tr>
      <w:tr w14:paraId="7D3B17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4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AE64F25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绩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效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和受奖惩及诉讼投诉情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  <w:t xml:space="preserve">   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/>
            <w:vAlign w:val="top"/>
          </w:tcPr>
          <w:p w14:paraId="6DBA16E4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绩效考核合格，无诉讼情况。</w:t>
            </w:r>
          </w:p>
        </w:tc>
      </w:tr>
      <w:tr w14:paraId="69EE1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5" w:hRule="atLeast"/>
        </w:trPr>
        <w:tc>
          <w:tcPr>
            <w:tcW w:w="1560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/>
            <w:vAlign w:val="center"/>
          </w:tcPr>
          <w:p w14:paraId="44936680">
            <w:pPr>
              <w:spacing w:line="0" w:lineRule="atLeast"/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  <w:lang w:val="en-US"/>
              </w:rPr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接受捐赠</w:t>
            </w:r>
          </w:p>
          <w:p w14:paraId="01FED471">
            <w:pPr>
              <w:spacing w:line="0" w:lineRule="atLeast"/>
            </w:pP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资助及使用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情</w:t>
            </w:r>
            <w:r>
              <w:rPr>
                <w:rFonts w:eastAsia="楷体_GB2312"/>
                <w:b/>
                <w:bCs/>
                <w:sz w:val="32"/>
                <w:szCs w:val="24"/>
                <w:bdr w:val="none" w:color="auto" w:sz="0" w:space="0"/>
              </w:rPr>
              <w:t xml:space="preserve"> </w:t>
            </w:r>
            <w:r>
              <w:rPr>
                <w:rFonts w:hint="eastAsia" w:ascii="Times New Roman" w:eastAsia="楷体_GB2312" w:cs="楷体_GB2312"/>
                <w:b/>
                <w:bCs/>
                <w:sz w:val="32"/>
                <w:szCs w:val="24"/>
                <w:bdr w:val="none" w:color="auto" w:sz="0" w:space="0"/>
              </w:rPr>
              <w:t>况</w:t>
            </w:r>
          </w:p>
        </w:tc>
        <w:tc>
          <w:tcPr>
            <w:tcW w:w="7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/>
            <w:vAlign w:val="top"/>
          </w:tcPr>
          <w:p w14:paraId="14B6EC50">
            <w:pPr>
              <w:jc w:val="left"/>
            </w:pPr>
            <w:r>
              <w:rPr>
                <w:rStyle w:val="14"/>
                <w:rFonts w:hint="eastAsia" w:ascii="楷体_GB2312" w:eastAsia="楷体_GB2312" w:cs="楷体_GB2312"/>
                <w:sz w:val="28"/>
                <w:szCs w:val="28"/>
                <w:bdr w:val="none" w:color="auto" w:sz="0" w:space="0"/>
                <w:lang w:val="en-US"/>
              </w:rPr>
              <w:t>无</w:t>
            </w:r>
          </w:p>
        </w:tc>
      </w:tr>
    </w:tbl>
    <w:p w14:paraId="3300C6D5">
      <w:pPr>
        <w:jc w:val="left"/>
        <w:rPr>
          <w:rFonts w:hint="eastAsia" w:ascii="楷体_GB2312" w:eastAsia="楷体_GB2312" w:cs="楷体_GB2312"/>
          <w:b/>
          <w:bCs/>
          <w:sz w:val="28"/>
          <w:szCs w:val="28"/>
          <w:lang w:val="en-US"/>
        </w:rPr>
      </w:pPr>
    </w:p>
    <w:sectPr>
      <w:pgSz w:w="11906" w:h="16838"/>
      <w:pgMar w:top="1440" w:right="1135" w:bottom="1440" w:left="1135" w:header="851" w:footer="992" w:gutter="0"/>
      <w:paperSrc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@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1"/>
    <w:family w:val="auto"/>
    <w:pitch w:val="variable"/>
    <w:sig w:usb0="E00002FF" w:usb1="420024FF" w:usb2="00000000" w:usb3="00000000" w:csb0="2000019F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fixed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7"/>
  <w:displayHorizontalDrawingGridEvery w:val="0"/>
  <w:displayVerticalDrawingGridEvery w:val="2"/>
  <w:characterSpacingControl w:val="compressPunctuation"/>
  <w:footnotePr>
    <w:footnote w:id="0"/>
    <w:footnote w:id="1"/>
  </w:footnotePr>
  <w:compat>
    <w:balanceSingleByteDoubleByteWidth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NjIyN2U2NjRhN2NiMzUxYTA1NjlkZWExMDEwNWQifQ=="/>
  </w:docVars>
  <w:rsids>
    <w:rsidRoot w:val="00000000"/>
    <w:rsid w:val="78F71A3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iPriority="99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nhideWhenUsed="0" w:uiPriority="39" w:semiHidden="0" w:name="toc 4"/>
    <w:lsdException w:unhideWhenUsed="0" w:uiPriority="39" w:semiHidden="0" w:name="toc 5"/>
    <w:lsdException w:unhideWhenUsed="0" w:uiPriority="39" w:semiHidden="0" w:name="toc 6"/>
    <w:lsdException w:unhideWhenUsed="0" w:uiPriority="39" w:semiHidden="0" w:name="toc 7"/>
    <w:lsdException w:unhideWhenUsed="0" w:uiPriority="39" w:semiHidden="0" w:name="toc 8"/>
    <w:lsdException w:unhideWhenUsed="0" w:uiPriority="39" w:semiHidden="0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nhideWhenUsed="0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iPriority="99" w:name="Medium Grid 1"/>
    <w:lsdException w:uiPriority="99" w:name="Medium Grid 2"/>
    <w:lsdException w:uiPriority="99" w:name="Medium Grid 3"/>
    <w:lsdException w:uiPriority="99" w:name="Dark List"/>
    <w:lsdException w:uiPriority="99" w:name="Colorful Shading"/>
    <w:lsdException w:uiPriority="99" w:name="Colorful List"/>
    <w:lsdException w:uiPriority="99" w:name="Colorful Grid"/>
    <w:lsdException w:uiPriority="99" w:name="Light Shading Accent 1"/>
    <w:lsdException w:uiPriority="99" w:name="Light List Accent 1"/>
    <w:lsdException w:uiPriority="99" w:name="Light Grid Accent 1"/>
    <w:lsdException w:uiPriority="99" w:name="Medium Shading 1 Accent 1"/>
    <w:lsdException w:uiPriority="99" w:name="Medium Shading 2 Accent 1"/>
    <w:lsdException w:uiPriority="99" w:name="Medium List 1 Accent 1"/>
    <w:lsdException w:uiPriority="99" w:name="Medium List 2 Accent 1"/>
    <w:lsdException w:uiPriority="99" w:name="Medium Grid 1 Accent 1"/>
    <w:lsdException w:uiPriority="99" w:name="Medium Grid 2 Accent 1"/>
    <w:lsdException w:uiPriority="99" w:name="Medium Grid 3 Accent 1"/>
    <w:lsdException w:uiPriority="99" w:name="Dark List Accent 1"/>
    <w:lsdException w:uiPriority="99" w:name="Colorful Shading Accent 1"/>
    <w:lsdException w:uiPriority="99" w:name="Colorful List Accent 1"/>
    <w:lsdException w:uiPriority="99" w:name="Colorful Grid Accent 1"/>
    <w:lsdException w:uiPriority="99" w:name="Light Shading Accent 2"/>
    <w:lsdException w:uiPriority="99" w:name="Light List Accent 2"/>
    <w:lsdException w:uiPriority="99" w:name="Light Grid Accent 2"/>
    <w:lsdException w:uiPriority="99" w:name="Medium Shading 1 Accent 2"/>
    <w:lsdException w:uiPriority="99" w:name="Medium Shading 2 Accent 2"/>
    <w:lsdException w:uiPriority="99" w:name="Medium List 1 Accent 2"/>
    <w:lsdException w:uiPriority="99" w:name="Medium List 2 Accent 2"/>
    <w:lsdException w:uiPriority="99" w:name="Medium Grid 1 Accent 2"/>
    <w:lsdException w:uiPriority="99" w:name="Medium Grid 2 Accent 2"/>
    <w:lsdException w:uiPriority="99" w:name="Medium Grid 3 Accent 2"/>
    <w:lsdException w:uiPriority="99" w:name="Dark List Accent 2"/>
    <w:lsdException w:uiPriority="99" w:name="Colorful Shading Accent 2"/>
    <w:lsdException w:uiPriority="99" w:name="Colorful List Accent 2"/>
    <w:lsdException w:uiPriority="99" w:name="Colorful Grid Accent 2"/>
    <w:lsdException w:uiPriority="99" w:name="Light Shading Accent 3"/>
    <w:lsdException w:uiPriority="99" w:name="Light List Accent 3"/>
    <w:lsdException w:uiPriority="99" w:name="Light Grid Accent 3"/>
    <w:lsdException w:uiPriority="99" w:name="Medium Shading 1 Accent 3"/>
    <w:lsdException w:uiPriority="99" w:name="Medium Shading 2 Accent 3"/>
    <w:lsdException w:uiPriority="99" w:name="Medium List 1 Accent 3"/>
    <w:lsdException w:uiPriority="99" w:name="Medium List 2 Accent 3"/>
    <w:lsdException w:uiPriority="99" w:name="Medium Grid 1 Accent 3"/>
    <w:lsdException w:uiPriority="99" w:name="Medium Grid 2 Accent 3"/>
    <w:lsdException w:uiPriority="99" w:name="Medium Grid 3 Accent 3"/>
    <w:lsdException w:uiPriority="99" w:name="Dark List Accent 3"/>
    <w:lsdException w:uiPriority="99" w:name="Colorful Shading Accent 3"/>
    <w:lsdException w:uiPriority="99" w:name="Colorful List Accent 3"/>
    <w:lsdException w:uiPriority="99" w:name="Colorful Grid Accent 3"/>
    <w:lsdException w:uiPriority="99" w:name="Light Shading Accent 4"/>
    <w:lsdException w:uiPriority="99" w:name="Light List Accent 4"/>
    <w:lsdException w:uiPriority="99" w:name="Light Grid Accent 4"/>
    <w:lsdException w:uiPriority="99" w:name="Medium Shading 1 Accent 4"/>
    <w:lsdException w:uiPriority="99" w:name="Medium Shading 2 Accent 4"/>
    <w:lsdException w:uiPriority="99" w:name="Medium List 1 Accent 4"/>
    <w:lsdException w:uiPriority="99" w:name="Medium List 2 Accent 4"/>
    <w:lsdException w:uiPriority="99" w:name="Medium Grid 1 Accent 4"/>
    <w:lsdException w:uiPriority="99" w:name="Medium Grid 2 Accent 4"/>
    <w:lsdException w:uiPriority="99" w:name="Medium Grid 3 Accent 4"/>
    <w:lsdException w:uiPriority="99" w:name="Dark List Accent 4"/>
    <w:lsdException w:uiPriority="99" w:name="Colorful Shading Accent 4"/>
    <w:lsdException w:uiPriority="99" w:name="Colorful List Accent 4"/>
    <w:lsdException w:uiPriority="99" w:name="Colorful Grid Accent 4"/>
    <w:lsdException w:uiPriority="99" w:name="Light Shading Accent 5"/>
    <w:lsdException w:uiPriority="99" w:name="Light List Accent 5"/>
    <w:lsdException w:uiPriority="99" w:name="Light Grid Accent 5"/>
    <w:lsdException w:uiPriority="99" w:name="Medium Shading 1 Accent 5"/>
    <w:lsdException w:uiPriority="99" w:name="Medium Shading 2 Accent 5"/>
    <w:lsdException w:uiPriority="99" w:name="Medium List 1 Accent 5"/>
    <w:lsdException w:uiPriority="99" w:name="Medium List 2 Accent 5"/>
    <w:lsdException w:uiPriority="99" w:name="Medium Grid 1 Accent 5"/>
    <w:lsdException w:uiPriority="99" w:name="Medium Grid 2 Accent 5"/>
    <w:lsdException w:uiPriority="99" w:name="Medium Grid 3 Accent 5"/>
    <w:lsdException w:uiPriority="99" w:name="Dark List Accent 5"/>
    <w:lsdException w:uiPriority="99" w:name="Colorful Shading Accent 5"/>
    <w:lsdException w:uiPriority="99" w:name="Colorful List Accent 5"/>
    <w:lsdException w:uiPriority="99" w:name="Colorful Grid Accent 5"/>
    <w:lsdException w:uiPriority="99" w:name="Light Shading Accent 6"/>
    <w:lsdException w:uiPriority="99" w:name="Light List Accent 6"/>
    <w:lsdException w:uiPriority="99" w:name="Light Grid Accent 6"/>
    <w:lsdException w:uiPriority="99" w:name="Medium Shading 1 Accent 6"/>
    <w:lsdException w:uiPriority="99" w:name="Medium Shading 2 Accent 6"/>
    <w:lsdException w:uiPriority="99" w:name="Medium List 1 Accent 6"/>
    <w:lsdException w:uiPriority="99" w:name="Medium List 2 Accent 6"/>
    <w:lsdException w:uiPriority="99" w:name="Medium Grid 1 Accent 6"/>
    <w:lsdException w:uiPriority="99" w:name="Medium Grid 2 Accent 6"/>
    <w:lsdException w:uiPriority="99" w:name="Medium Grid 3 Accent 6"/>
    <w:lsdException w:uiPriority="99" w:name="Dark List Accent 6"/>
    <w:lsdException w:uiPriority="99" w:name="Colorful Shading Accent 6"/>
    <w:lsdException w:uiPriority="99" w:name="Colorful List Accent 6"/>
    <w:lsdException w:uiPriority="99" w:name="Colorful Grid Accent 6"/>
  </w:latentStyles>
  <w:style w:type="paragraph" w:default="1" w:styleId="1">
    <w:name w:val="Normal"/>
    <w:semiHidden/>
    <w:unhideWhenUsed/>
    <w:uiPriority w:val="9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21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0"/>
      <w:szCs w:val="20"/>
      <w:lang w:val="en-US" w:eastAsia="zh-CN" w:bidi="ar"/>
    </w:rPr>
  </w:style>
  <w:style w:type="paragraph" w:styleId="7">
    <w:name w:val="heading 6"/>
    <w:basedOn w:val="1"/>
    <w:next w:val="1"/>
    <w:qFormat/>
    <w:uiPriority w:val="9"/>
    <w:pPr>
      <w:widowControl/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15"/>
      <w:szCs w:val="15"/>
      <w:lang w:val="en-US" w:eastAsia="zh-CN" w:bidi="ar"/>
    </w:rPr>
  </w:style>
  <w:style w:type="character" w:default="1" w:styleId="13">
    <w:name w:val="Default Paragraph Font"/>
    <w:semiHidden/>
    <w:unhideWhenUsed/>
    <w:uiPriority w:val="99"/>
  </w:style>
  <w:style w:type="table" w:default="1" w:styleId="12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8">
    <w:name w:val="footer"/>
    <w:basedOn w:val="1"/>
    <w:link w:val="18"/>
    <w:semiHidden/>
    <w:unhideWhenUsed/>
    <w:uiPriority w:val="99"/>
    <w:pPr>
      <w:keepNext w:val="0"/>
      <w:keepLines w:val="0"/>
      <w:widowControl w:val="0"/>
      <w:suppressLineNumbers w:val="0"/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left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9">
    <w:name w:val="header"/>
    <w:basedOn w:val="1"/>
    <w:link w:val="17"/>
    <w:semiHidden/>
    <w:unhideWhenUsed/>
    <w:uiPriority w:val="99"/>
    <w:pPr>
      <w:keepNext w:val="0"/>
      <w:keepLines w:val="0"/>
      <w:widowControl w:val="0"/>
      <w:suppressLineNumbers w:val="0"/>
      <w:pBdr>
        <w:top w:val="none" w:color="auto" w:sz="0" w:space="0"/>
        <w:left w:val="none" w:color="auto" w:sz="0" w:space="0"/>
        <w:bottom w:val="single" w:color="auto" w:sz="6" w:space="1"/>
        <w:right w:val="none" w:color="auto" w:sz="0" w:space="0"/>
      </w:pBdr>
      <w:tabs>
        <w:tab w:val="center" w:pos="4153"/>
        <w:tab w:val="right" w:pos="8306"/>
      </w:tabs>
      <w:snapToGrid w:val="0"/>
      <w:spacing w:before="0" w:beforeAutospacing="0" w:after="0" w:afterAutospacing="0"/>
      <w:ind w:left="0" w:right="0"/>
      <w:jc w:val="center"/>
    </w:pPr>
    <w:rPr>
      <w:rFonts w:hint="default" w:ascii="Times New Roman" w:hAnsi="Times New Roman" w:eastAsia="宋体" w:cs="Times New Roman"/>
      <w:kern w:val="2"/>
      <w:sz w:val="18"/>
      <w:szCs w:val="18"/>
      <w:lang w:val="en-US" w:eastAsia="zh-CN" w:bidi="ar"/>
    </w:rPr>
  </w:style>
  <w:style w:type="paragraph" w:styleId="10">
    <w:name w:val="HTML Preformatted"/>
    <w:basedOn w:val="1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1">
    <w:name w:val="Normal (Web)"/>
    <w:basedOn w:val="1"/>
    <w:semiHidden/>
    <w:unhideWhenUsed/>
    <w:uiPriority w:val="99"/>
    <w:pPr>
      <w:widowControl/>
      <w:spacing w:before="0" w:beforeAutospacing="1" w:after="0" w:afterAutospacing="1"/>
      <w:ind w:left="0" w:right="0"/>
      <w:jc w:val="left"/>
    </w:pPr>
    <w:rPr>
      <w:rFonts w:ascii="宋体" w:hAnsi="宋体" w:eastAsia="宋体" w:cs="宋体"/>
      <w:kern w:val="0"/>
      <w:sz w:val="24"/>
      <w:lang w:val="en-US" w:eastAsia="zh-CN" w:bidi="ar"/>
    </w:rPr>
  </w:style>
  <w:style w:type="character" w:customStyle="1" w:styleId="14">
    <w:name w:val="font71"/>
    <w:basedOn w:val="13"/>
    <w:uiPriority w:val="0"/>
    <w:rPr>
      <w:rFonts w:hint="default" w:ascii="Times New Roman" w:hAnsi="Times New Roman" w:eastAsia="楷体_GB2312" w:cs="Times New Roman"/>
      <w:sz w:val="28"/>
      <w:szCs w:val="24"/>
    </w:rPr>
  </w:style>
  <w:style w:type="character" w:customStyle="1" w:styleId="15">
    <w:name w:val="font51"/>
    <w:basedOn w:val="13"/>
    <w:uiPriority w:val="0"/>
    <w:rPr>
      <w:rFonts w:hint="eastAsia" w:ascii="黑体" w:hAnsi="宋体" w:eastAsia="黑体" w:cs="黑体"/>
      <w:sz w:val="36"/>
      <w:szCs w:val="24"/>
    </w:rPr>
  </w:style>
  <w:style w:type="character" w:customStyle="1" w:styleId="16">
    <w:name w:val="hps"/>
    <w:basedOn w:val="13"/>
    <w:uiPriority w:val="0"/>
  </w:style>
  <w:style w:type="character" w:customStyle="1" w:styleId="17">
    <w:name w:val="页眉 Char"/>
    <w:basedOn w:val="13"/>
    <w:link w:val="9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8">
    <w:name w:val="页脚 Char"/>
    <w:basedOn w:val="13"/>
    <w:link w:val="8"/>
    <w:locked/>
    <w:uiPriority w:val="0"/>
    <w:rPr>
      <w:rFonts w:hint="default" w:ascii="Times New Roman" w:hAnsi="Times New Roman" w:eastAsia="宋体" w:cs="Times New Roman"/>
      <w:sz w:val="18"/>
      <w:szCs w:val="18"/>
    </w:rPr>
  </w:style>
  <w:style w:type="character" w:customStyle="1" w:styleId="19">
    <w:name w:val="font21"/>
    <w:basedOn w:val="13"/>
    <w:uiPriority w:val="0"/>
    <w:rPr>
      <w:rFonts w:hint="default" w:ascii="Times New Roman" w:hAnsi="Times New Roman" w:eastAsia="楷体_GB2312" w:cs="Times New Roman"/>
      <w:sz w:val="30"/>
      <w:szCs w:val="24"/>
    </w:rPr>
  </w:style>
  <w:style w:type="character" w:customStyle="1" w:styleId="20">
    <w:name w:val="font61"/>
    <w:basedOn w:val="13"/>
    <w:uiPriority w:val="0"/>
    <w:rPr>
      <w:rFonts w:hint="default" w:ascii="Times New Roman" w:hAnsi="Times New Roman" w:eastAsia="楷体_GB2312" w:cs="Times New Roman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WwW.YlmF.CoM</Company>
  <Pages>4</Pages>
  <Words>498</Words>
  <Characters>543</Characters>
  <Lines>4</Lines>
  <Paragraphs>1</Paragraphs>
  <TotalTime>45455.7187500016</TotalTime>
  <ScaleCrop>false</ScaleCrop>
  <LinksUpToDate>false</LinksUpToDate>
  <CharactersWithSpaces>579</CharactersWithSpaces>
  <Application>WPS Office_12.1.0.17133_F1E327BC-269C-435d-A152-05C5408002CA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1899-12-29T16:00:00Z</dcterms:created>
  <dc:creator>雨林木风</dc:creator>
  <cp:lastModifiedBy>Administrator</cp:lastModifiedBy>
  <dcterms:modified xsi:type="dcterms:W3CDTF">2024-06-12T09:22:41Z</dcterms:modified>
  <cp:revision>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4082E4E280394E95B7090C67FE9078AB_13</vt:lpwstr>
  </property>
</Properties>
</file>