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D6428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36ECD4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12430922MB1E52497L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CCF0937">
      <w:pPr>
        <w:jc w:val="right"/>
        <w:rPr>
          <w:lang w:val="en-US"/>
        </w:rPr>
      </w:pPr>
    </w:p>
    <w:p w14:paraId="4B0699B8">
      <w:pPr>
        <w:jc w:val="right"/>
        <w:rPr>
          <w:lang w:val="en-US"/>
        </w:rPr>
      </w:pPr>
    </w:p>
    <w:p w14:paraId="69B0F06B">
      <w:pPr>
        <w:jc w:val="right"/>
        <w:rPr>
          <w:lang w:val="en-US"/>
        </w:rPr>
      </w:pPr>
    </w:p>
    <w:p w14:paraId="08A3E566">
      <w:pPr>
        <w:jc w:val="right"/>
        <w:rPr>
          <w:lang w:val="en-US"/>
        </w:rPr>
      </w:pPr>
    </w:p>
    <w:p w14:paraId="2B3AD08A">
      <w:pPr>
        <w:jc w:val="right"/>
        <w:rPr>
          <w:lang w:val="en-US"/>
        </w:rPr>
      </w:pPr>
    </w:p>
    <w:p w14:paraId="2FAE319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7876402">
      <w:pPr>
        <w:jc w:val="center"/>
        <w:rPr>
          <w:rFonts w:eastAsia="黑体"/>
          <w:b/>
          <w:bCs/>
          <w:spacing w:val="30"/>
          <w:lang w:val="en-US"/>
        </w:rPr>
      </w:pPr>
    </w:p>
    <w:p w14:paraId="29D8E8F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D809CA1">
      <w:pPr>
        <w:jc w:val="center"/>
        <w:rPr>
          <w:sz w:val="36"/>
          <w:szCs w:val="24"/>
          <w:lang w:val="en-US"/>
        </w:rPr>
      </w:pPr>
    </w:p>
    <w:p w14:paraId="07A9188E">
      <w:pPr>
        <w:jc w:val="center"/>
        <w:rPr>
          <w:sz w:val="36"/>
          <w:szCs w:val="24"/>
          <w:lang w:val="en-US"/>
        </w:rPr>
      </w:pPr>
    </w:p>
    <w:p w14:paraId="12EA745B">
      <w:pPr>
        <w:jc w:val="center"/>
        <w:rPr>
          <w:sz w:val="36"/>
          <w:szCs w:val="24"/>
          <w:lang w:val="en-US"/>
        </w:rPr>
      </w:pPr>
    </w:p>
    <w:p w14:paraId="6877695F">
      <w:pPr>
        <w:jc w:val="center"/>
        <w:rPr>
          <w:sz w:val="36"/>
          <w:szCs w:val="24"/>
          <w:lang w:val="en-US"/>
        </w:rPr>
      </w:pPr>
    </w:p>
    <w:p w14:paraId="689A13DA">
      <w:pPr>
        <w:jc w:val="center"/>
        <w:rPr>
          <w:sz w:val="36"/>
          <w:szCs w:val="24"/>
          <w:lang w:val="en-US"/>
        </w:rPr>
      </w:pPr>
    </w:p>
    <w:p w14:paraId="550435C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EE4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6E9F61E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19E448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桃江县鸬鹚渡镇社会事务中心</w:t>
            </w:r>
          </w:p>
        </w:tc>
      </w:tr>
    </w:tbl>
    <w:p w14:paraId="130F6A0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BFD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7EFA71F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112434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A8D3DC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04CDC3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A32E39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26965A1">
      <w:pPr>
        <w:jc w:val="center"/>
        <w:rPr>
          <w:u w:val="single"/>
          <w:lang w:val="en-US"/>
        </w:rPr>
      </w:pPr>
    </w:p>
    <w:p w14:paraId="77A484C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0FEFA5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410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E67E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78762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DAFB7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9BE83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4F24D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8044F6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FF29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8FB47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桃江县鸬鹚渡镇社会事务中心</w:t>
            </w:r>
          </w:p>
        </w:tc>
      </w:tr>
      <w:tr w14:paraId="27D4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1498D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FCBC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65473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BEFF3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社会事务办公室的工作，具体负责承办人力资源与社会保障、民政、社会救助、社区建设、医疗保障、卫生健康与计划生育、文化旅游广电体育、民族宗教、侨务等方面的公益服务性、技术性工作。承办党委、政府和上级业务部门交办的其他事项。</w:t>
            </w:r>
          </w:p>
        </w:tc>
      </w:tr>
      <w:tr w14:paraId="08CA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0AC7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E548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4C1AD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桃江县鸬鹚渡镇人民政府</w:t>
            </w:r>
          </w:p>
        </w:tc>
      </w:tr>
      <w:tr w14:paraId="50F9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680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1DD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AAE45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刘俊辉</w:t>
            </w:r>
          </w:p>
        </w:tc>
      </w:tr>
      <w:tr w14:paraId="2EAD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575F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428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5FDAA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0AA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A414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9941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ECE3D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AC7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80F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CBCF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BF2252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桃江县鸬鹚渡镇人民政府</w:t>
            </w:r>
          </w:p>
        </w:tc>
      </w:tr>
      <w:tr w14:paraId="0F93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3A55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F483C3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38F7D9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7BA19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648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A190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585B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366FDE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FE5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590E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D25D9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36CA8D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5D2A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DCC5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45485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桃江县鸬鹚渡镇社会事务综合服务中心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D23B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CD6C6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2ED4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175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1792B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F1845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ECA66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721CB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D75D8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FDDE8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7BBA8B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A1FF0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严格按照《条例》和实施细则的有关规定执行。</w:t>
            </w:r>
          </w:p>
        </w:tc>
      </w:tr>
      <w:tr w14:paraId="0150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C37BB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6C3FD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10329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68D0A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DFFAA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74BEF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1973F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47D891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AC2C04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社会事务综合服务中心工作在镇党委政府的领导下，积极宣传计划生育基本国策、优生优育、新型婚育文化、家庭健康科普知识。为群众和计生家庭办好事、做实事、解难事，有力促进全镇卫生和健康、文广体工作、红十字会工作顺利开展。现将一年来的工作汇报如下： 一、计划生育工作：1.2023年度新增奖扶118人，做到应奖尽奖，把好调查走访关，确保准确率达到100%，关爱计划生育特殊家庭56户，建立双岗联系人制度，确保与每户计划生育特殊家庭畅通沟通渠道。开通就医绿色通道，确保计划生育特殊家庭综合保险，住院护理补贴落实到位，家庭医生签约全面落实。完成了奖扶、特扶、计划生育手术后遗症对象年审。发放奖扶资金585人次计56.16万元，特扶44人次计39.6万元，计划生育手术后遗症12人次计4.152万元惠民资金。2.把好生育证办理关，办理一孩生育证76份，二孩生育证73份，三孩生育证9份。3.动员100人参加无偿献血活动，献血4万毫升。4.开展了女性两癌筛查活动。为了提升辖区妇女的健康水平，在桃江县妇幼保健院对我镇的适龄妇女免费开展两癌筛查，提高广大女性朋友的两癌防治意识，达到早发现、早诊断、早治疗的目的，让女性同胞远离疾病困扰。为了保证本次筛查顺利开展，确保安全，组织公共交通工具在各村社区接送。本次活动共筛查751人次。 二、计生协会工作：开展基层能力建设示范点创建工作，很荣幸我镇被定为省级宣传倡导服务示范点。1.开展春节生育关怀慰问活动，慰问失独家庭、计生贫困家庭和农村三留守人员等弱势群体23户，共计发放生育关怀资金9200元。体现了党和政府的关怀和计生协的温暖。2.庆祝中国计生协成立43周年，举办了引领新时代婚育新风 共筑新征程幸福文明为主题的大型宣传服务活动暨趣味运动会，全镇150余名村组干部参加，此次活动设有个人比赛项目与团队比赛项目，包括摸石过河、仙人指路、抱球接力、和乒乓球定点投球等项目，来自全镇12个村社区代表队有序进行参赛，运动会在欢乐的气氛中进行，精彩场面随处可见，呐喊助威之声此起彼伏，充分展现出计生协会员们健康活跃、团结协作的精神风貌。在轻松的比赛氛围中锻炼了身体的同时又增强了团队凝聚力。此次活动吸引周边近千名群众观看，现场发放宣传资料2000余份。3、镇计生协联合镇卫生院,到各村社区开展老年人健康体检。面对面进行健康指导，广泛传播健康科学知识和理念。活动期间共免费健康检查2260人。到完全小学进行健康知识进校园、爱眼护眼讲座，受益学生达560人。4.计生系列保险工作稳步推进，增强计生家庭防范和抵御风险的能力。5.广泛开展优生优育进万家活动与家庭健康促进行动。推动各村社区普遍开展优生优育宣传服务，把握5.29、7.11、春节等重要时间节点，送戏下乡现场，开展多种形式的主题宣传普及健康知识，加强三减三健、健康素养66条等群众性健康宣传教育，提高家庭健康素养与健康水平。一年来,举办6场宣传活动，发放宣传资料8000份 三、文广体工作：维护村村响、防汛系统，确保各村村响、山洪预警广播运行正常。规范村广播室管理。充分发挥村村响在各项工作中宣传作用。拆除非法卫星锅12个。举办了紫辰杯幸福新桃江 舞动新时代全民健身广场舞大赛。组织推送全民健身全民健康.助力乡村振兴优供优销2023年全省广场舞大赛桃江赛区2个初赛节目及3个表演节目。送戏下乡鸬鹚渡社区、梅山村、板溪村、张子清村。沙河社区、板溪村、张子清村、龙塘湾村等村社区为弘扬中华民族传统美德，在传统佳节重阳节举办文艺汇演，表彰了一批五好家庭。旨在激发村社区居民敬老爱老，热爱家乡促发展的热情。进一步提高村社区文化活动室、农家书屋、文化活动广场等文化设施使用效率，定期维护、确保正常运行，定期免费开放。全面完成公共文化服务体系高质量发展五年行动计划2023年工作，公共文化服务公众满意度调查线上测评2589份。 四、红十字会工作：开展博爱送万家慰问活动，慰问特殊家庭30户。开展5.8人道公益日众筹活动，发动村社区捐款10718元，用于开展助老、助残、助困、助学等人道救助志愿服务活动。邀请县红十字会讲师在板溪村开展了一期应急救护知识培训，在政府举办了一期红十字心肺复苏CPR+AED发证应急救护员培训班，培训中，救护师资结合农村的特点，以心肺复苏、气道异物梗阻等培训内容为重点，采取理论授课和实操相结合的方式为学员讲解急救知识。通过培训，学习到了在遇到灾难、事故、急症发生时该如何进行有效应急救护，会尽自己的一份力量挽救生命。营造人人学急救，急救为人人的良好社会氛围。为推进红十字事业高质量发展，沙河社区、梅山村成立了红十字会，认真履行红十字会基层组织的职责。 五、成功创建省级卫生镇，在市、县爱卫办的指导下，镇党委、政府切实加强领导，明确责任，狠抓落实，强化督查，采取广泛发动、完善设施、建章立制、加强管理的创卫工作方法，对照国家卫生镇标准，从爱卫组织管理、健康教育与健康促进、市容环境卫生、生态环境、重点场所卫生、食品与生活饮用水安全、疾病防控与医疗卫生服务方面开展工作，已通过市爱卫委的评审。 </w:t>
            </w:r>
          </w:p>
          <w:p w14:paraId="0F7346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A89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A746E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143B6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事业单位法人证书，有效期至2025年4月3日</w:t>
            </w:r>
          </w:p>
        </w:tc>
      </w:tr>
      <w:tr w14:paraId="577B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EDF62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C287E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绩效考核合格 奖惩及诉讼情况无</w:t>
            </w:r>
          </w:p>
        </w:tc>
      </w:tr>
      <w:tr w14:paraId="0F77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49BE72E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A23524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BB730A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4612CA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C0B0D6D"/>
    <w:rsid w:val="5BA13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2471</Words>
  <Characters>2597</Characters>
  <Lines>4</Lines>
  <Paragraphs>1</Paragraphs>
  <TotalTime>45456.4062500016</TotalTime>
  <ScaleCrop>false</ScaleCrop>
  <LinksUpToDate>false</LinksUpToDate>
  <CharactersWithSpaces>2641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2024-06-13T01:51:09Z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B326286D9B2B4ED1A3D62C0424F53659_13</vt:lpwstr>
  </property>
</Properties>
</file>