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767BC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AB06399">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12430922MB1D249623</w:t>
      </w:r>
      <w:r>
        <w:rPr>
          <w:rFonts w:eastAsia="楷体_GB2312"/>
          <w:b/>
          <w:bCs/>
          <w:sz w:val="30"/>
          <w:szCs w:val="24"/>
          <w:lang w:val="en-US"/>
        </w:rPr>
        <w:t xml:space="preserve">   </w:t>
      </w:r>
    </w:p>
    <w:p w14:paraId="3EA942BF">
      <w:pPr>
        <w:jc w:val="right"/>
        <w:rPr>
          <w:lang w:val="en-US"/>
        </w:rPr>
      </w:pPr>
    </w:p>
    <w:p w14:paraId="59D9B628">
      <w:pPr>
        <w:jc w:val="right"/>
        <w:rPr>
          <w:lang w:val="en-US"/>
        </w:rPr>
      </w:pPr>
    </w:p>
    <w:p w14:paraId="4B0A3AEE">
      <w:pPr>
        <w:jc w:val="right"/>
        <w:rPr>
          <w:lang w:val="en-US"/>
        </w:rPr>
      </w:pPr>
    </w:p>
    <w:p w14:paraId="4138E279">
      <w:pPr>
        <w:jc w:val="right"/>
        <w:rPr>
          <w:lang w:val="en-US"/>
        </w:rPr>
      </w:pPr>
    </w:p>
    <w:p w14:paraId="754E8967">
      <w:pPr>
        <w:jc w:val="right"/>
        <w:rPr>
          <w:lang w:val="en-US"/>
        </w:rPr>
      </w:pPr>
    </w:p>
    <w:p w14:paraId="5B3A163D">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525C3AB">
      <w:pPr>
        <w:jc w:val="center"/>
        <w:rPr>
          <w:rFonts w:eastAsia="黑体"/>
          <w:b/>
          <w:bCs/>
          <w:spacing w:val="30"/>
          <w:lang w:val="en-US"/>
        </w:rPr>
      </w:pPr>
    </w:p>
    <w:p w14:paraId="711CB30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32F8B36">
      <w:pPr>
        <w:jc w:val="center"/>
        <w:rPr>
          <w:sz w:val="36"/>
          <w:szCs w:val="24"/>
          <w:lang w:val="en-US"/>
        </w:rPr>
      </w:pPr>
    </w:p>
    <w:p w14:paraId="50B38BC8">
      <w:pPr>
        <w:jc w:val="center"/>
        <w:rPr>
          <w:sz w:val="36"/>
          <w:szCs w:val="24"/>
          <w:lang w:val="en-US"/>
        </w:rPr>
      </w:pPr>
    </w:p>
    <w:p w14:paraId="6E988D09">
      <w:pPr>
        <w:jc w:val="center"/>
        <w:rPr>
          <w:sz w:val="36"/>
          <w:szCs w:val="24"/>
          <w:lang w:val="en-US"/>
        </w:rPr>
      </w:pPr>
    </w:p>
    <w:p w14:paraId="2C90EB59">
      <w:pPr>
        <w:jc w:val="center"/>
        <w:rPr>
          <w:sz w:val="36"/>
          <w:szCs w:val="24"/>
          <w:lang w:val="en-US"/>
        </w:rPr>
      </w:pPr>
    </w:p>
    <w:p w14:paraId="70B2F85D">
      <w:pPr>
        <w:jc w:val="center"/>
        <w:rPr>
          <w:sz w:val="36"/>
          <w:szCs w:val="24"/>
          <w:lang w:val="en-US"/>
        </w:rPr>
      </w:pPr>
    </w:p>
    <w:p w14:paraId="2DC29E0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C48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0762BE6">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DDC32C4">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桃江县鸬鹚渡镇农业综合服务中心</w:t>
            </w:r>
          </w:p>
        </w:tc>
      </w:tr>
    </w:tbl>
    <w:p w14:paraId="12FA212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475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CA5B9AC">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3518E57">
            <w:pPr>
              <w:keepNext w:val="0"/>
              <w:keepLines w:val="0"/>
              <w:widowControl/>
              <w:suppressLineNumbers w:val="0"/>
              <w:jc w:val="left"/>
              <w:rPr>
                <w:kern w:val="0"/>
                <w:sz w:val="20"/>
                <w:szCs w:val="20"/>
                <w:bdr w:val="none" w:color="auto" w:sz="0" w:space="0"/>
                <w:lang w:val="en-US"/>
              </w:rPr>
            </w:pPr>
          </w:p>
        </w:tc>
      </w:tr>
    </w:tbl>
    <w:p w14:paraId="533833D5">
      <w:pPr>
        <w:ind w:left="0" w:firstLine="723" w:firstLineChars="300"/>
        <w:rPr>
          <w:rFonts w:hint="eastAsia" w:ascii="黑体" w:hAnsi="宋体" w:eastAsia="黑体" w:cs="黑体"/>
          <w:b/>
          <w:bCs/>
          <w:sz w:val="24"/>
          <w:szCs w:val="24"/>
          <w:u w:val="single"/>
          <w:lang w:val="en-US"/>
        </w:rPr>
      </w:pPr>
    </w:p>
    <w:p w14:paraId="5C052DA3">
      <w:pPr>
        <w:jc w:val="center"/>
        <w:rPr>
          <w:rFonts w:hint="eastAsia" w:ascii="黑体" w:hAnsi="宋体" w:eastAsia="黑体" w:cs="黑体"/>
          <w:b/>
          <w:bCs/>
          <w:sz w:val="30"/>
          <w:szCs w:val="24"/>
          <w:u w:val="single"/>
          <w:lang w:val="en-US"/>
        </w:rPr>
      </w:pPr>
    </w:p>
    <w:p w14:paraId="681E371E">
      <w:pPr>
        <w:jc w:val="center"/>
        <w:rPr>
          <w:rFonts w:hint="eastAsia" w:ascii="黑体" w:hAnsi="宋体" w:eastAsia="黑体" w:cs="黑体"/>
          <w:b/>
          <w:bCs/>
          <w:sz w:val="30"/>
          <w:szCs w:val="24"/>
          <w:u w:val="single"/>
          <w:lang w:val="en-US"/>
        </w:rPr>
      </w:pPr>
    </w:p>
    <w:p w14:paraId="074D27B0">
      <w:pPr>
        <w:jc w:val="center"/>
        <w:rPr>
          <w:u w:val="single"/>
          <w:lang w:val="en-US"/>
        </w:rPr>
      </w:pPr>
    </w:p>
    <w:p w14:paraId="49B671D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562EB2E">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8B3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287E3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DA45E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41463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27C69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4567A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A237FF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5B4FA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6C23E0E">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桃江县鸬鹚渡镇农业综合服务中心</w:t>
            </w:r>
          </w:p>
        </w:tc>
      </w:tr>
      <w:tr w14:paraId="1F31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A0226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60487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86FB5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25DCA84">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协助经济发展办公室（农业农村和扶贫办公室）的工作，具体负责种植业、养殖业、水产业、农业机械新技术的引进、试验示范、培训推广、技术服务和农业病虫害预测预报及防治指导工作；负责国家强制免疫的动物疫病免疫接种和重大动物疫病监测、报告、控制与扑灭以及动物检疫等工作；负责农机购置补贴核实，协助处理农业机械安全事故；负责农产品质量安全检测监督服务工作；负责指导林业生产、开展林业技术服务、推广林业科学技术、森林防火及病虫害防治等方面的技术性工作；负责水利工程维护管理、河道湖泊与水库治理、防汛抗旱、堤防维护管理、机电排灌、水资源和水土保持等方面的事务性、技术性工作。承办农民负担监督、农村经济经营管理、土地流转、移民安置和后期扶持等方面的事务性工作。承办党委、政府和上级业务部门交办的其他事项。</w:t>
            </w:r>
          </w:p>
        </w:tc>
      </w:tr>
      <w:tr w14:paraId="3CF6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E38AA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CEFF9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741314E">
            <w:pPr>
              <w:jc w:val="left"/>
            </w:pPr>
            <w:r>
              <w:rPr>
                <w:rStyle w:val="14"/>
                <w:rFonts w:hint="eastAsia" w:ascii="楷体_GB2312" w:eastAsia="楷体_GB2312" w:cs="楷体_GB2312"/>
                <w:sz w:val="28"/>
                <w:szCs w:val="28"/>
                <w:bdr w:val="none" w:color="auto" w:sz="0" w:space="0"/>
                <w:lang w:val="en-US"/>
              </w:rPr>
              <w:t>桃江县鸬鹚渡镇人民政府</w:t>
            </w:r>
          </w:p>
        </w:tc>
      </w:tr>
      <w:tr w14:paraId="0182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3615A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9B3E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AF3BF5">
            <w:pPr>
              <w:jc w:val="left"/>
            </w:pPr>
            <w:r>
              <w:rPr>
                <w:rStyle w:val="14"/>
                <w:rFonts w:hint="eastAsia" w:ascii="楷体_GB2312" w:eastAsia="楷体_GB2312" w:cs="楷体_GB2312"/>
                <w:sz w:val="28"/>
                <w:szCs w:val="28"/>
                <w:bdr w:val="none" w:color="auto" w:sz="0" w:space="0"/>
                <w:lang w:val="en-US"/>
              </w:rPr>
              <w:t>郭智敏</w:t>
            </w:r>
          </w:p>
        </w:tc>
      </w:tr>
      <w:tr w14:paraId="7B41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31E4A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89C9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A524B9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w:t>
            </w:r>
            <w:r>
              <w:rPr>
                <w:rStyle w:val="14"/>
                <w:rFonts w:hint="eastAsia" w:ascii="楷体_GB2312" w:eastAsia="楷体_GB2312" w:cs="楷体_GB2312"/>
                <w:sz w:val="28"/>
                <w:szCs w:val="28"/>
                <w:bdr w:val="none" w:color="auto" w:sz="0" w:space="0"/>
              </w:rPr>
              <w:t>（万元）</w:t>
            </w:r>
          </w:p>
        </w:tc>
      </w:tr>
      <w:tr w14:paraId="1B86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1C48D7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632A1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C9B4A8F">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财政补助（上级拔款）</w:t>
            </w:r>
          </w:p>
        </w:tc>
      </w:tr>
      <w:tr w14:paraId="6929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E4DBAF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42D1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7A045B6">
            <w:pPr>
              <w:jc w:val="left"/>
            </w:pPr>
            <w:r>
              <w:rPr>
                <w:rStyle w:val="14"/>
                <w:rFonts w:hint="eastAsia" w:ascii="楷体_GB2312" w:eastAsia="楷体_GB2312" w:cs="楷体_GB2312"/>
                <w:sz w:val="28"/>
                <w:szCs w:val="28"/>
                <w:bdr w:val="none" w:color="auto" w:sz="0" w:space="0"/>
                <w:lang w:val="en-US"/>
              </w:rPr>
              <w:t>桃江县鸬鹚渡镇人民政府</w:t>
            </w:r>
          </w:p>
        </w:tc>
      </w:tr>
      <w:tr w14:paraId="6D44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53EFBD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1CE2B6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4AEFA3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7275377">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7D8B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896023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C607827">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38FA099">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2BD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B900F9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957FD3C">
            <w:pPr>
              <w:jc w:val="center"/>
              <w:rPr>
                <w:sz w:val="32"/>
                <w:szCs w:val="24"/>
                <w:bdr w:val="none" w:color="auto" w:sz="0" w:space="0"/>
                <w:lang w:val="en-US"/>
              </w:rPr>
            </w:pPr>
            <w:r>
              <w:rPr>
                <w:rStyle w:val="20"/>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DF23809">
            <w:pPr>
              <w:jc w:val="center"/>
            </w:pPr>
            <w:r>
              <w:rPr>
                <w:rStyle w:val="14"/>
                <w:sz w:val="32"/>
                <w:szCs w:val="32"/>
                <w:bdr w:val="none" w:color="auto" w:sz="0" w:space="0"/>
                <w:lang w:val="en-US"/>
              </w:rPr>
              <w:t>1</w:t>
            </w:r>
          </w:p>
        </w:tc>
      </w:tr>
      <w:tr w14:paraId="36A6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74ADD4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984914B">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桃江县鸬鹚渡镇农业综合服务中心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FEE723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27C250A">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14</w:t>
            </w:r>
          </w:p>
        </w:tc>
      </w:tr>
      <w:tr w14:paraId="367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D1A50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34971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3737F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4201F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63A62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7EE4C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62B6F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C2F266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FCDD2EE">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严格按照《条例》和实施细则有关规定执行，本年度无变更登记项目。</w:t>
            </w:r>
          </w:p>
        </w:tc>
      </w:tr>
      <w:tr w14:paraId="287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0E315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BF8FB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484CD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5F755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F9C94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5CED5B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50E4C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10D45D4">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CB836D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一、农业方面 1、今年完成早稻集中育秧面积6058亩，早稻播种面积7218亩，其中包括4个双季稻千亩示范片，3个再生稻千亩示范片和国家粮食生产样板调查点一个。预计全镇今年粮食总产量为1.358万吨。 2、农产品质量安全监管完成稻谷抽样检测225个，蔬菜抽样检测181个。全年推广低系镉稻谷品种3个，面积4500亩，完成受污染耕地安全利用面积5717.3亩。 3、完成全国第三次土壤普查，辖区内表层土壤釆样26个。完成撂荒耕地图斑摸底核实202个。 4、今年省启动新的惠农惠民“阳光系统”补贴发放，这项工作涉及全镇每个农户，在前期的动员、培训、摸底，后期的审核、确认、复核等工作均是仔细入微，为后续工作减少许多的麻纱。 二、水利方面 1、一是今年防汛抗旱已取得阶段性胜利，成功应对了7.18特大强降雨。鸬鹚渡镇作为唯一代表，代表全县成功迎接了市防汛抗旱2023年年度考核。二是省、市推送河湖遥感图斑102个，已全部完成核实、整改、销号工作。三是鸬鹚渡镇顺利通过省河湖长制工作的第三方评估考核（全市抽四个乡镇，鸬鹚渡是其中之一）。 2、今年我镇向上争得水利工程项目资金960万元，其中安全饮水工程维修改造资金9万元；2023年小农水项目（包括山塘清淤扩容与维修项目31口）资金72万元；幸苦冲水库除险加固工程项目，总投资190余万元；锡溪河流域治理项目，总投资690万元。所有工程项目已全部完工。 3、全镇共有人饮水水厂11个，接受市县质检部门抽检检测5次，检测结果均符合饮用水的标准。 三、畜禽方面 1、今年以来多次迎检了省、市、县各项督导、调研工作，其中2月份，省畜牧水产事务中心负责人，调研我镇动物产品检疫工作；11月份省农业农村厅，调研秋季动物疫病防控工作；在畜禽粪污治理上，得到上级的认可，且在省市县媒体进行报道。年初牲猪存栏为3.57万头，牛0.43万头，羊0.31万只，禽33.48万羽。今年共出栏牲猪4.5万头，牛0.2万头，羊0.32万只，禽20.5万羽。 2、全镇共47家规模养殖场均已悬挂行政与技术监管责任人公示牌，挂牌辛率100%，应免畜禽免疫率100%。畜禽粪污资源利用率达95%。 四、禁捕退捕 禁捕退捕工作，全镇今年共发放宣传资料1000余份；宣传车15台次；设立禁渔公告牌5块；常态化巡查56车次，269人次参与；与相关部门联合开展执法巡查15次，112人次参加，收缴销毁地笼42个，渔网5张，电鱼设备4台。 五、林业方面 1、受去年天气干旱的影响，今年是近三十年来竹蝗发生最为严重的一年，共计发放治蝗粉剂2.375吨，杀虫双97件，组织专业治蝗队8支，人员28人，寻找竹蝗产卵地150个，竹蝗得到有效控制，同时为明年的竹蝗防治打下基础。 2、年初计划修建林道或森林防火隔离带36公里，现已基本完成，只待上级验收考核。 3、新增新造林面积316亩。培育竹笋基地500亩。在森林防火方面，共计出动宣传车87台次，发放森林防火宣传资料，禁火令，林长令，森林防火警示通告等1500余份；悬挂横幅45条，张贴宣传标语280多条。 4、省林业厅推送森林卫星遥感图斑两个均已核实、整改、销号。成功创建市级标准化林长制办公室。 六、农机方面 今年完成农用机械年检年审25台；配合县农机事务中心和县交警队开展联合执法20次；审核各类农机具49台次，发放农机购补贴14.6万元。绘制永久性农机安全墙体广告三块，悬挂横幅35条，各村社区张贴宣传标准245条。 七、经管方面 1、农村集体“三资”管理突出问题整治工作。今年特邀县经管站领导来我镇指导、培训农村集体“三资”管理突出问题整治整改会三次，组织村社区“三资”专干培训三次。村社区自查自纠发现问题102个，现均已整改到位。迎检了由市纪委牵头，组织市农业农村局和市财政局的调研。 2、今年我镇又有一家家庭农场和一家合作社被县评为县级示范家庭农场和县级示范合作社。 八、秸秆禁烧方面 今年以来，农作物秸秆露天禁烧共出动873人次，宣传车157台次，悬挂横幅45条，禁烧宣传屋场会315场次，张贴通告85张，立案3起，罚款2800元。 九、移民后扶方面 2023年有长江村等五个村得到了县移民事务中心的后扶项目支持，共计争取后扶资金36万元，其中包括农田水利设施建设，路灯，道路硬化等基础设施建设，11月份县移民局会同县财政局到各项目点进行了验收。 十、人居环境方面 1、县对镇进行4次双月评比，获得一次第2名、获得三次第4名，镇召开专题会议5次。各村（社区）常态化开展人居环境整治工作，每月一会议、每月一次集中整治活动、每周五开展“全民清洁日”。 2、宣传方面，截至目前，我镇在县级媒体发表刊物2篇、市级媒体发表刊物3篇、红网媒体发表刊物1篇、红星云级媒体发表刊物1篇、中国网媒体发表刊物5篇。 3、三美联创工作，龙塘湾村美丽屋场建设，已按照方案要求完成，张子清村美丽庭院“六个一建设”已完成，市、县级美丽乡村龙塘湾村、板溪村、梅山村已完成。 4、各村（社区）利用宣传车对每家每户进行宣传教育，每月利用主题党日活动，开展垃圾清扫志愿活动。积极选树优秀典型，通过4次评比，选出400余户“最美农户”，对其进行了表彰，并发放奖励物资共计400余件。12个村（社区）以屋场会形式全面进行了人居环境屋场会。各村（社区）每年只少召开4次以上保洁员会。人居环境付费制度全镇全面实行。 </w:t>
            </w:r>
          </w:p>
          <w:p w14:paraId="3F4371F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232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BAABD43">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8D2F0F6">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2C7D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F8AE3A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F06F5E6">
            <w:pPr>
              <w:jc w:val="left"/>
            </w:pPr>
            <w:r>
              <w:rPr>
                <w:rStyle w:val="14"/>
                <w:rFonts w:hint="eastAsia" w:ascii="楷体_GB2312" w:eastAsia="楷体_GB2312" w:cs="楷体_GB2312"/>
                <w:sz w:val="28"/>
                <w:szCs w:val="28"/>
                <w:bdr w:val="none" w:color="auto" w:sz="0" w:space="0"/>
                <w:lang w:val="en-US"/>
              </w:rPr>
              <w:t>无</w:t>
            </w:r>
          </w:p>
        </w:tc>
      </w:tr>
      <w:tr w14:paraId="1A82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DBAF61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5CD7F43">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524ACFE">
            <w:pPr>
              <w:jc w:val="left"/>
            </w:pPr>
            <w:r>
              <w:rPr>
                <w:rStyle w:val="14"/>
                <w:rFonts w:hint="eastAsia" w:ascii="楷体_GB2312" w:eastAsia="楷体_GB2312" w:cs="楷体_GB2312"/>
                <w:sz w:val="28"/>
                <w:szCs w:val="28"/>
                <w:bdr w:val="none" w:color="auto" w:sz="0" w:space="0"/>
                <w:lang w:val="en-US"/>
              </w:rPr>
              <w:t>无</w:t>
            </w:r>
          </w:p>
        </w:tc>
      </w:tr>
    </w:tbl>
    <w:p w14:paraId="1798055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8D05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2735</Words>
  <Characters>2912</Characters>
  <Lines>4</Lines>
  <Paragraphs>1</Paragraphs>
  <TotalTime>45456.3750000016</TotalTime>
  <ScaleCrop>false</ScaleCrop>
  <LinksUpToDate>false</LinksUpToDate>
  <CharactersWithSpaces>2980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2024-06-13T01:23:02Z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30D039D87E87401C8D0CAFF0E307229D_13</vt:lpwstr>
  </property>
</Properties>
</file>