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F3E230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DF557A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12430922740622112C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7652769">
      <w:pPr>
        <w:jc w:val="right"/>
        <w:rPr>
          <w:lang w:val="en-US"/>
        </w:rPr>
      </w:pPr>
    </w:p>
    <w:p w14:paraId="52483251">
      <w:pPr>
        <w:jc w:val="right"/>
        <w:rPr>
          <w:lang w:val="en-US"/>
        </w:rPr>
      </w:pPr>
    </w:p>
    <w:p w14:paraId="79039294">
      <w:pPr>
        <w:jc w:val="right"/>
        <w:rPr>
          <w:lang w:val="en-US"/>
        </w:rPr>
      </w:pPr>
    </w:p>
    <w:p w14:paraId="29F71662">
      <w:pPr>
        <w:jc w:val="right"/>
        <w:rPr>
          <w:lang w:val="en-US"/>
        </w:rPr>
      </w:pPr>
    </w:p>
    <w:p w14:paraId="0EDB3FBA">
      <w:pPr>
        <w:jc w:val="right"/>
        <w:rPr>
          <w:lang w:val="en-US"/>
        </w:rPr>
      </w:pPr>
    </w:p>
    <w:p w14:paraId="4156E2A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452EE8B">
      <w:pPr>
        <w:jc w:val="center"/>
        <w:rPr>
          <w:rFonts w:eastAsia="黑体"/>
          <w:b/>
          <w:bCs/>
          <w:spacing w:val="30"/>
          <w:lang w:val="en-US"/>
        </w:rPr>
      </w:pPr>
    </w:p>
    <w:p w14:paraId="2FFF875E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A3D4814">
      <w:pPr>
        <w:jc w:val="center"/>
        <w:rPr>
          <w:sz w:val="36"/>
          <w:szCs w:val="24"/>
          <w:lang w:val="en-US"/>
        </w:rPr>
      </w:pPr>
    </w:p>
    <w:p w14:paraId="0AD7E87D">
      <w:pPr>
        <w:jc w:val="center"/>
        <w:rPr>
          <w:sz w:val="36"/>
          <w:szCs w:val="24"/>
          <w:lang w:val="en-US"/>
        </w:rPr>
      </w:pPr>
    </w:p>
    <w:p w14:paraId="53E3C42D">
      <w:pPr>
        <w:jc w:val="center"/>
        <w:rPr>
          <w:sz w:val="36"/>
          <w:szCs w:val="24"/>
          <w:lang w:val="en-US"/>
        </w:rPr>
      </w:pPr>
    </w:p>
    <w:p w14:paraId="7F6F041D">
      <w:pPr>
        <w:jc w:val="center"/>
        <w:rPr>
          <w:sz w:val="36"/>
          <w:szCs w:val="24"/>
          <w:lang w:val="en-US"/>
        </w:rPr>
      </w:pPr>
    </w:p>
    <w:p w14:paraId="0C3502D5">
      <w:pPr>
        <w:jc w:val="center"/>
        <w:rPr>
          <w:sz w:val="36"/>
          <w:szCs w:val="24"/>
          <w:lang w:val="en-US"/>
        </w:rPr>
      </w:pPr>
    </w:p>
    <w:p w14:paraId="5DD69D3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D6C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A7673E4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F5315B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桃江县路灯管理所</w:t>
            </w:r>
          </w:p>
        </w:tc>
      </w:tr>
    </w:tbl>
    <w:p w14:paraId="2FECD26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FAD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8B1A788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B60EF1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9F8173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5AECFD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F79F23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7A3E747">
      <w:pPr>
        <w:jc w:val="center"/>
        <w:rPr>
          <w:u w:val="single"/>
          <w:lang w:val="en-US"/>
        </w:rPr>
      </w:pPr>
    </w:p>
    <w:p w14:paraId="19200B1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3D8825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8FC7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0BAF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68614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A2313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7F515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D1046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0EE311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AE57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E272E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桃江县路灯管理所</w:t>
            </w:r>
          </w:p>
        </w:tc>
      </w:tr>
      <w:tr w14:paraId="478C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3525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60EB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9EFCD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9ABD5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负责全县路灯管理和监控 城市路灯安装规划 履行惩处破坏路灯、线路设施等违法行为</w:t>
            </w:r>
          </w:p>
        </w:tc>
      </w:tr>
      <w:tr w14:paraId="3F29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85C7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3393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8A4D68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桃江县桃花江镇芙蓉路153号</w:t>
            </w:r>
          </w:p>
        </w:tc>
      </w:tr>
      <w:tr w14:paraId="7D6B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3FFD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B5E6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AD22F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苏照华</w:t>
            </w:r>
          </w:p>
        </w:tc>
      </w:tr>
      <w:tr w14:paraId="5728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DCDC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D81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64AD8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328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47A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42D5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CB5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C94FE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非财政补助（自收自支）</w:t>
            </w:r>
          </w:p>
        </w:tc>
      </w:tr>
      <w:tr w14:paraId="4869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4D18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A0D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8F3280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桃江县城市管理和综合执法局</w:t>
            </w:r>
          </w:p>
        </w:tc>
      </w:tr>
      <w:tr w14:paraId="74CB6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13707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25FFAF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3D2B32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8E9F3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65C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2D7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D8236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058B3D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260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FA63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775E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281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5836CC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267</w:t>
            </w:r>
          </w:p>
        </w:tc>
      </w:tr>
      <w:tr w14:paraId="07B2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028E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1F97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桃江县路灯管理所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42D3A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EBF10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22</w:t>
            </w:r>
          </w:p>
        </w:tc>
      </w:tr>
      <w:tr w14:paraId="743E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2D3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CC506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F180E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99A62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573D3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256F2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258DC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73EE99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BDED2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 《条例》和实施细则有关规定执行，已按规定完成开办资金变更登记。</w:t>
            </w:r>
          </w:p>
        </w:tc>
      </w:tr>
      <w:tr w14:paraId="6844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E7E56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2AE68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4341B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D73C5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108DE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3AADD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00D4E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FA34B2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C311A9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路灯新架与维修方面（一）新建工作1、共计安装路灯259盏（其中太平路76盏、建设西路27盏、建设中路8盏、近桃路3盏、金凤社区23盏、育英巷14盏、胜利街2盏、跃宇后4盏、亚孚加油站后7盏、农机监理1盏、邮电支巷3盏、邮电巷南8盏、天问路4盏、富民社区11盏、桃花东路1盏，芙蓉路安置房12盏、七星桥16盏、凤凰山社区13盏、竹业城2盏、光明小区14盏、创业村5盏、近桃路5盏）。敷设电缆线25380余米（口袋公园3600米，太平路建设西路铺设电缆线5100米、雪峰山路、金盆南路、拾光学府3200米、金盆南路主线3X25M&amp;sup2;铝电缆1500米、谷山南路1300米、凯邦华通城-桃益立交桥2800米、花苞洲-政务中心红绿灯800米、浮丘山-八公桩6800米、芙蓉路中杆灯拉主线280米）。完成县城5座桥梁的亮化工作（包括花苞洲大桥、美人窝桥、芙蓉路桥、人行铁桥、桃花江桥）。配合市政站对县城口袋公园进行了亮化工程（三角坪公园、近桃路小学旁、好润佳门口美人窝广场、老公路局门口、人行桥头）。在创业大道与竹海路交汇处设立城市灯光小品“桃江欢迎您”、休闲广场“我爱桃江”、人行桥“山水桃花江，天下美人窝”。更换路灯专变2台，安装路灯控制箱1台。（二）维护维修工作1、共维修路灯1200盏次,维修车辆撞坏和倾斜路灯11基,维护路灯专变36台次、高压10千伏下火线1处,维修更换电缆21011米（西环线、南环线、牛潭河大桥、谷山南路、县人民医院）。 </w:t>
            </w:r>
          </w:p>
          <w:p w14:paraId="3202B4E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40C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55662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C7CC4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14B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DF7D0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282CBA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092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722FE5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FA6718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F0C2502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B8C43D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FA12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939</Words>
  <Characters>1043</Characters>
  <Lines>4</Lines>
  <Paragraphs>1</Paragraphs>
  <TotalTime>45456.4375000016</TotalTime>
  <ScaleCrop>false</ScaleCrop>
  <LinksUpToDate>false</LinksUpToDate>
  <CharactersWithSpaces>1082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2024-06-13T02:30:00Z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36397A1585B645708A61869ED006B155_13</vt:lpwstr>
  </property>
</Properties>
</file>