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DDD6A3">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328B831">
      <w:pPr>
        <w:wordWrap w:val="0"/>
        <w:jc w:val="right"/>
        <w:rPr>
          <w:rFonts w:eastAsia="楷体_GB2312"/>
          <w:b/>
          <w:bCs/>
          <w:sz w:val="30"/>
          <w:szCs w:val="24"/>
          <w:lang w:val="en-US"/>
        </w:rPr>
      </w:pPr>
      <w:r>
        <w:rPr>
          <w:rFonts w:eastAsia="楷体_GB2312"/>
          <w:b/>
          <w:bCs/>
          <w:sz w:val="30"/>
          <w:szCs w:val="24"/>
          <w:lang w:val="en-US"/>
        </w:rPr>
        <w:t xml:space="preserve">   </w:t>
      </w:r>
      <w:r>
        <w:rPr>
          <w:rStyle w:val="15"/>
          <w:b/>
          <w:bCs/>
          <w:sz w:val="30"/>
          <w:szCs w:val="30"/>
          <w:lang w:val="en-US"/>
        </w:rPr>
        <w:t>12430922447019672K</w:t>
      </w:r>
      <w:r>
        <w:rPr>
          <w:rFonts w:eastAsia="楷体_GB2312"/>
          <w:b/>
          <w:bCs/>
          <w:sz w:val="30"/>
          <w:szCs w:val="24"/>
          <w:lang w:val="en-US"/>
        </w:rPr>
        <w:t xml:space="preserve">   </w:t>
      </w:r>
    </w:p>
    <w:p w14:paraId="3DDD0B7A">
      <w:pPr>
        <w:jc w:val="right"/>
        <w:rPr>
          <w:lang w:val="en-US"/>
        </w:rPr>
      </w:pPr>
    </w:p>
    <w:p w14:paraId="2DD85FF2">
      <w:pPr>
        <w:jc w:val="right"/>
        <w:rPr>
          <w:lang w:val="en-US"/>
        </w:rPr>
      </w:pPr>
    </w:p>
    <w:p w14:paraId="2D29EAA7">
      <w:pPr>
        <w:jc w:val="right"/>
        <w:rPr>
          <w:lang w:val="en-US"/>
        </w:rPr>
      </w:pPr>
    </w:p>
    <w:p w14:paraId="4B7F0D4A">
      <w:pPr>
        <w:jc w:val="right"/>
        <w:rPr>
          <w:lang w:val="en-US"/>
        </w:rPr>
      </w:pPr>
    </w:p>
    <w:p w14:paraId="16DE5AB8">
      <w:pPr>
        <w:jc w:val="right"/>
        <w:rPr>
          <w:lang w:val="en-US"/>
        </w:rPr>
      </w:pPr>
    </w:p>
    <w:p w14:paraId="49826DD3">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53F068AE">
      <w:pPr>
        <w:jc w:val="center"/>
        <w:rPr>
          <w:rFonts w:eastAsia="黑体"/>
          <w:b/>
          <w:bCs/>
          <w:spacing w:val="30"/>
          <w:lang w:val="en-US"/>
        </w:rPr>
      </w:pPr>
    </w:p>
    <w:p w14:paraId="7C8BFDB7">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5"/>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6D832D1E">
      <w:pPr>
        <w:jc w:val="center"/>
        <w:rPr>
          <w:sz w:val="36"/>
          <w:szCs w:val="24"/>
          <w:lang w:val="en-US"/>
        </w:rPr>
      </w:pPr>
    </w:p>
    <w:p w14:paraId="68252575">
      <w:pPr>
        <w:jc w:val="center"/>
        <w:rPr>
          <w:sz w:val="36"/>
          <w:szCs w:val="24"/>
          <w:lang w:val="en-US"/>
        </w:rPr>
      </w:pPr>
    </w:p>
    <w:p w14:paraId="7739B85D">
      <w:pPr>
        <w:jc w:val="center"/>
        <w:rPr>
          <w:sz w:val="36"/>
          <w:szCs w:val="24"/>
          <w:lang w:val="en-US"/>
        </w:rPr>
      </w:pPr>
    </w:p>
    <w:p w14:paraId="26C66DAC">
      <w:pPr>
        <w:jc w:val="center"/>
        <w:rPr>
          <w:sz w:val="36"/>
          <w:szCs w:val="24"/>
          <w:lang w:val="en-US"/>
        </w:rPr>
      </w:pPr>
    </w:p>
    <w:p w14:paraId="67A97CF4">
      <w:pPr>
        <w:jc w:val="center"/>
        <w:rPr>
          <w:sz w:val="36"/>
          <w:szCs w:val="24"/>
          <w:lang w:val="en-US"/>
        </w:rPr>
      </w:pPr>
    </w:p>
    <w:p w14:paraId="3043222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A1C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414B43B9">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1A339F69">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桃江县牛田镇中心学校</w:t>
            </w:r>
          </w:p>
        </w:tc>
      </w:tr>
    </w:tbl>
    <w:p w14:paraId="7DFEF873">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AAF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DB2B8CC">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697224B">
            <w:pPr>
              <w:keepNext w:val="0"/>
              <w:keepLines w:val="0"/>
              <w:widowControl/>
              <w:suppressLineNumbers w:val="0"/>
              <w:jc w:val="left"/>
              <w:rPr>
                <w:kern w:val="0"/>
                <w:sz w:val="20"/>
                <w:szCs w:val="20"/>
                <w:bdr w:val="none" w:color="auto" w:sz="0" w:space="0"/>
                <w:lang w:val="en-US"/>
              </w:rPr>
            </w:pPr>
          </w:p>
        </w:tc>
      </w:tr>
    </w:tbl>
    <w:p w14:paraId="5D0B880E">
      <w:pPr>
        <w:ind w:left="0" w:firstLine="723" w:firstLineChars="300"/>
        <w:rPr>
          <w:rFonts w:hint="eastAsia" w:ascii="黑体" w:hAnsi="宋体" w:eastAsia="黑体" w:cs="黑体"/>
          <w:b/>
          <w:bCs/>
          <w:sz w:val="24"/>
          <w:szCs w:val="24"/>
          <w:u w:val="single"/>
          <w:lang w:val="en-US"/>
        </w:rPr>
      </w:pPr>
    </w:p>
    <w:p w14:paraId="3A3F214B">
      <w:pPr>
        <w:jc w:val="center"/>
        <w:rPr>
          <w:rFonts w:hint="eastAsia" w:ascii="黑体" w:hAnsi="宋体" w:eastAsia="黑体" w:cs="黑体"/>
          <w:b/>
          <w:bCs/>
          <w:sz w:val="30"/>
          <w:szCs w:val="24"/>
          <w:u w:val="single"/>
          <w:lang w:val="en-US"/>
        </w:rPr>
      </w:pPr>
    </w:p>
    <w:p w14:paraId="4E4BE90A">
      <w:pPr>
        <w:jc w:val="center"/>
        <w:rPr>
          <w:rFonts w:hint="eastAsia" w:ascii="黑体" w:hAnsi="宋体" w:eastAsia="黑体" w:cs="黑体"/>
          <w:b/>
          <w:bCs/>
          <w:sz w:val="30"/>
          <w:szCs w:val="24"/>
          <w:u w:val="single"/>
          <w:lang w:val="en-US"/>
        </w:rPr>
      </w:pPr>
    </w:p>
    <w:p w14:paraId="0B4156E1">
      <w:pPr>
        <w:jc w:val="center"/>
        <w:rPr>
          <w:u w:val="single"/>
          <w:lang w:val="en-US"/>
        </w:rPr>
      </w:pPr>
    </w:p>
    <w:p w14:paraId="1941C925">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A69223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ACA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030FED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F4397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0EB402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0741A0F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C14B04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C06C0A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1D03F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81F6E0C">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桃江县牛田镇中心学校</w:t>
            </w:r>
          </w:p>
        </w:tc>
      </w:tr>
      <w:tr w14:paraId="3D6C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82A821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016A6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22811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45BE5A9">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实施九年义务教育，促进基础教育发展。 幼儿教育 小学和初中学历教育及相关社会服务</w:t>
            </w:r>
          </w:p>
        </w:tc>
      </w:tr>
      <w:tr w14:paraId="54B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0247A5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5242D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813D125">
            <w:pPr>
              <w:jc w:val="left"/>
            </w:pPr>
            <w:r>
              <w:rPr>
                <w:rStyle w:val="19"/>
                <w:rFonts w:hint="eastAsia" w:ascii="楷体_GB2312" w:eastAsia="楷体_GB2312" w:cs="楷体_GB2312"/>
                <w:sz w:val="28"/>
                <w:szCs w:val="28"/>
                <w:bdr w:val="none" w:color="auto" w:sz="0" w:space="0"/>
                <w:lang w:val="en-US"/>
              </w:rPr>
              <w:t>桃江县牛田镇株树山村</w:t>
            </w:r>
          </w:p>
        </w:tc>
      </w:tr>
      <w:tr w14:paraId="7E7E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0023A7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D2B63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A344311">
            <w:pPr>
              <w:jc w:val="left"/>
            </w:pPr>
            <w:r>
              <w:rPr>
                <w:rStyle w:val="19"/>
                <w:rFonts w:hint="eastAsia" w:ascii="楷体_GB2312" w:eastAsia="楷体_GB2312" w:cs="楷体_GB2312"/>
                <w:sz w:val="28"/>
                <w:szCs w:val="28"/>
                <w:bdr w:val="none" w:color="auto" w:sz="0" w:space="0"/>
                <w:lang w:val="en-US"/>
              </w:rPr>
              <w:t>刘永跃</w:t>
            </w:r>
          </w:p>
        </w:tc>
      </w:tr>
      <w:tr w14:paraId="4FD7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789816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BB4FF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B0938DF">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3866</w:t>
            </w:r>
            <w:r>
              <w:rPr>
                <w:rStyle w:val="19"/>
                <w:rFonts w:hint="eastAsia" w:ascii="楷体_GB2312" w:eastAsia="楷体_GB2312" w:cs="楷体_GB2312"/>
                <w:sz w:val="28"/>
                <w:szCs w:val="28"/>
                <w:bdr w:val="none" w:color="auto" w:sz="0" w:space="0"/>
              </w:rPr>
              <w:t>（万元）</w:t>
            </w:r>
          </w:p>
        </w:tc>
      </w:tr>
      <w:tr w14:paraId="4914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620CC2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434463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0C1A9D1">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财政补助（全额拨款）</w:t>
            </w:r>
          </w:p>
        </w:tc>
      </w:tr>
      <w:tr w14:paraId="0CB9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F1A5B0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4CB7B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028A098">
            <w:pPr>
              <w:jc w:val="left"/>
            </w:pPr>
            <w:r>
              <w:rPr>
                <w:rStyle w:val="19"/>
                <w:rFonts w:hint="eastAsia" w:ascii="楷体_GB2312" w:eastAsia="楷体_GB2312" w:cs="楷体_GB2312"/>
                <w:sz w:val="28"/>
                <w:szCs w:val="28"/>
                <w:bdr w:val="none" w:color="auto" w:sz="0" w:space="0"/>
                <w:lang w:val="en-US"/>
              </w:rPr>
              <w:t>桃江县教育局</w:t>
            </w:r>
          </w:p>
        </w:tc>
      </w:tr>
      <w:tr w14:paraId="46C3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067FFC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D463205">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546C8096">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EC2BE2E">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7E3F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3777E8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247F0CC">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3716558">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456A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A094525">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7339533">
            <w:pPr>
              <w:jc w:val="center"/>
              <w:rPr>
                <w:sz w:val="32"/>
                <w:szCs w:val="24"/>
                <w:bdr w:val="none" w:color="auto" w:sz="0" w:space="0"/>
                <w:lang w:val="en-US"/>
              </w:rPr>
            </w:pPr>
            <w:r>
              <w:rPr>
                <w:rStyle w:val="14"/>
                <w:sz w:val="32"/>
                <w:szCs w:val="24"/>
                <w:bdr w:val="none" w:color="auto" w:sz="0" w:space="0"/>
                <w:lang w:val="en-US"/>
              </w:rPr>
              <w:t>738.5837</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BDBB906">
            <w:pPr>
              <w:jc w:val="center"/>
            </w:pPr>
            <w:r>
              <w:rPr>
                <w:rStyle w:val="19"/>
                <w:sz w:val="32"/>
                <w:szCs w:val="32"/>
                <w:bdr w:val="none" w:color="auto" w:sz="0" w:space="0"/>
                <w:lang w:val="en-US"/>
              </w:rPr>
              <w:t>833.8729</w:t>
            </w:r>
          </w:p>
        </w:tc>
      </w:tr>
      <w:tr w14:paraId="2386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8C89116">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F4258E2">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桃江县牛田镇中心学校</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7385E746">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7B07F89">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158</w:t>
            </w:r>
          </w:p>
        </w:tc>
      </w:tr>
      <w:tr w14:paraId="1555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9AE7B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49F6C6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A7EDA4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36D815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73365A4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46940E0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F37F32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FFD50F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882155E">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严格按《条例》和实施细则有关变更登记规定执行</w:t>
            </w:r>
          </w:p>
        </w:tc>
      </w:tr>
      <w:tr w14:paraId="288C8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0885BA4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E16A0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2C317C4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9D0534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A9D10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2FB25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699F15F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BD95496">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43C1DF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2023年牛田镇中心学校，继续把提高教育质量作为学校工作的核心，我们多措并举，建立了以提高质量为导向的管理机制，把学校工作重点集中到强化教育效果，提高教育质量上来。 一、创新人才和拔尖人才的培养。 从9月份开始，牛田镇中心学校下的各学校都制定了创新人才和拔尖人才的培养方案，并利用课后服务的时间，对选出的尖子生进行培训和辅导，特别是牛田镇中学和牛田镇完小，各辅导老师认真负责，扎实有效。在此感谢各位校长、主任、老师们的辛勤付出。 二、开展各种活动，注重特色发展。 为切实落实课程计划，进一步培养学生的创新精神和实践能力，提高教育教学质量，我们把学生活动的开展，作为一项重要的工作来抓，让学生在活动中增长知识，锻炼才干，培养品性，磨练自我，提高人文素养，增强责任感和使命感。9月份和12月份，我镇分别组织教师和学生开展了讲演《桃花江的故事》的比赛；9月底的三独比赛，我镇取得了不菲的成绩。10月份，牛田镇中学第二十四届运动会历经两天，圆满成功；11月份的阳光体育评比活动，镇完全小学代表牛田镇中心学校表现突出，成绩优异。12月份组织参加的桃江县第三十九届科技创新大赛，取得了B组中的较好成绩。一年来，在各级创新大赛和各项活动中我镇荣获省、市、县各级各项奖励近二十人次。 三、指导教学教研，打造高效课堂。 我们积极开展教学视导，指导教学研究，打造高效课堂。 一是科学制定教研活动的计划、目标、实施方案。从解决实际存在的问题出发，实行“实践-反思-实践”的活动模式，扎实开展教学研究。23年中心校组织开展了多次的大型教学研究活动。 二是在全镇范围内开展教学大比武、大观摩活动。下半年，全镇参与教研的教师达到30多人次，连续几年的研磨课活动均获得各级领导专家，特别是县教师发展中心专家的一致好评。 三是组织毕业班教师先后到沾溪中学，马迹塘中学，三堂街中学进行校级交流，听取经验汇报，学习先进管理模式，进行自身对比，取长补短。11月份，在李凤娇校长的带领下，组织毕业班全科教师到长沙参加2024届新课标背景下中考备考复习指导暨初三教学策略研究会，收获颇多，感悟良多。 四是组织初中毕业班班主任到中心学校进行集中研讨。4个毕业班班主任分别对自己班的班情、学情和学生的家情进行了分析，得出利弊，采取下一步的措施。 四、强化入校督查，搞好质量监控。 一是中心学校定期开展教育教学视导工作，深入课堂，解决教学中的实际问题。今年我们就开展了“教学质量校校行、推门听课班班进”的教学视导活动。 二是认真执行《牛田镇中小学校教学管理细则》。中心校组织每期对全镇所有学校进行两次检查，详细查阅每位干部教师的教案、听评课笔记、作业批阅、教学反思、教研活动记录、测试卷、学生考试成绩（记分册）以及学校其他活动计划和记录等，在全镇做总结通报。并要求各校教务处对常规工作每期检查4次以上，每次检查都认真作好小结，在学校通报，小结上交中心校并与教师绩效考核挂钩。我镇教学常规工作质量符合要求，在县局飞行检查中表现突出。 三是认真搞好质量监测。教学质量检测是检验教师教学、学生学习效果的最有效手段，是停下来总结得失、进一步精进的必要缓冲，认识到位、做得扎实才能显出奇效。每次检测中心校都制定详尽的检测方案，尽心做好期中抽测、期末监测。不管是期中抽测还是期末监测，中心校都是全镇各学校交叉监考、统一集中阅卷，统一登分统分，对各学校和全体教师进行大评比、大排队，这种形式收到了较好的效果。 </w:t>
            </w:r>
          </w:p>
          <w:p w14:paraId="00283216">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4A6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FB40931">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514AF6B">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2024年3月15日</w:t>
            </w:r>
          </w:p>
        </w:tc>
      </w:tr>
      <w:tr w14:paraId="7A81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0CC6D7A">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8CEC8BB">
            <w:pPr>
              <w:jc w:val="left"/>
            </w:pPr>
            <w:r>
              <w:rPr>
                <w:rStyle w:val="19"/>
                <w:rFonts w:hint="eastAsia" w:ascii="楷体_GB2312" w:eastAsia="楷体_GB2312" w:cs="楷体_GB2312"/>
                <w:sz w:val="28"/>
                <w:szCs w:val="28"/>
                <w:bdr w:val="none" w:color="auto" w:sz="0" w:space="0"/>
                <w:lang w:val="en-US"/>
              </w:rPr>
              <w:t>无</w:t>
            </w:r>
          </w:p>
        </w:tc>
      </w:tr>
      <w:tr w14:paraId="5E25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458C07B">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5772D28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1D6A687">
            <w:pPr>
              <w:jc w:val="left"/>
            </w:pPr>
            <w:r>
              <w:rPr>
                <w:rStyle w:val="19"/>
                <w:rFonts w:hint="eastAsia" w:ascii="楷体_GB2312" w:eastAsia="楷体_GB2312" w:cs="楷体_GB2312"/>
                <w:sz w:val="28"/>
                <w:szCs w:val="28"/>
                <w:bdr w:val="none" w:color="auto" w:sz="0" w:space="0"/>
                <w:lang w:val="en-US"/>
              </w:rPr>
              <w:t>无</w:t>
            </w:r>
          </w:p>
        </w:tc>
      </w:tr>
    </w:tbl>
    <w:p w14:paraId="304D43AB">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68EE69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font21"/>
    <w:basedOn w:val="13"/>
    <w:uiPriority w:val="0"/>
    <w:rPr>
      <w:rFonts w:hint="default" w:ascii="Times New Roman" w:hAnsi="Times New Roman" w:eastAsia="楷体_GB2312" w:cs="Times New Roman"/>
      <w:sz w:val="30"/>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6</Pages>
  <Words>1761</Words>
  <Characters>1832</Characters>
  <Lines>4</Lines>
  <Paragraphs>1</Paragraphs>
  <TotalTime>45456.4375000016</TotalTime>
  <ScaleCrop>false</ScaleCrop>
  <LinksUpToDate>false</LinksUpToDate>
  <CharactersWithSpaces>1884</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2024-06-13T02:49:54Z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2E5347543BE1468EBE9788FC1C3F520F_13</vt:lpwstr>
  </property>
</Properties>
</file>