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B8224A">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5F1B913">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124309220064904773</w:t>
      </w:r>
      <w:r>
        <w:rPr>
          <w:rFonts w:eastAsia="楷体_GB2312"/>
          <w:b/>
          <w:bCs/>
          <w:sz w:val="30"/>
          <w:szCs w:val="24"/>
          <w:lang w:val="en-US"/>
        </w:rPr>
        <w:t xml:space="preserve">   </w:t>
      </w:r>
    </w:p>
    <w:p w14:paraId="5B0F48E3">
      <w:pPr>
        <w:jc w:val="right"/>
        <w:rPr>
          <w:lang w:val="en-US"/>
        </w:rPr>
      </w:pPr>
    </w:p>
    <w:p w14:paraId="64D961E0">
      <w:pPr>
        <w:jc w:val="right"/>
        <w:rPr>
          <w:lang w:val="en-US"/>
        </w:rPr>
      </w:pPr>
    </w:p>
    <w:p w14:paraId="082B54A1">
      <w:pPr>
        <w:jc w:val="right"/>
        <w:rPr>
          <w:lang w:val="en-US"/>
        </w:rPr>
      </w:pPr>
    </w:p>
    <w:p w14:paraId="0057EB06">
      <w:pPr>
        <w:jc w:val="right"/>
        <w:rPr>
          <w:lang w:val="en-US"/>
        </w:rPr>
      </w:pPr>
    </w:p>
    <w:p w14:paraId="613F3182">
      <w:pPr>
        <w:jc w:val="right"/>
        <w:rPr>
          <w:lang w:val="en-US"/>
        </w:rPr>
      </w:pPr>
    </w:p>
    <w:p w14:paraId="090B822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70DAC99">
      <w:pPr>
        <w:jc w:val="center"/>
        <w:rPr>
          <w:rFonts w:eastAsia="黑体"/>
          <w:b/>
          <w:bCs/>
          <w:spacing w:val="30"/>
          <w:lang w:val="en-US"/>
        </w:rPr>
      </w:pPr>
    </w:p>
    <w:p w14:paraId="39C69B9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0A8AB08">
      <w:pPr>
        <w:jc w:val="center"/>
        <w:rPr>
          <w:sz w:val="36"/>
          <w:szCs w:val="24"/>
          <w:lang w:val="en-US"/>
        </w:rPr>
      </w:pPr>
    </w:p>
    <w:p w14:paraId="0D5795C2">
      <w:pPr>
        <w:jc w:val="center"/>
        <w:rPr>
          <w:sz w:val="36"/>
          <w:szCs w:val="24"/>
          <w:lang w:val="en-US"/>
        </w:rPr>
      </w:pPr>
    </w:p>
    <w:p w14:paraId="6616153E">
      <w:pPr>
        <w:jc w:val="center"/>
        <w:rPr>
          <w:sz w:val="36"/>
          <w:szCs w:val="24"/>
          <w:lang w:val="en-US"/>
        </w:rPr>
      </w:pPr>
    </w:p>
    <w:p w14:paraId="72CBBC6B">
      <w:pPr>
        <w:jc w:val="center"/>
        <w:rPr>
          <w:sz w:val="36"/>
          <w:szCs w:val="24"/>
          <w:lang w:val="en-US"/>
        </w:rPr>
      </w:pPr>
    </w:p>
    <w:p w14:paraId="32A2D0D6">
      <w:pPr>
        <w:jc w:val="center"/>
        <w:rPr>
          <w:sz w:val="36"/>
          <w:szCs w:val="24"/>
          <w:lang w:val="en-US"/>
        </w:rPr>
      </w:pPr>
    </w:p>
    <w:p w14:paraId="70A8CD2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2E6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800899B">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CD639FD">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桃江县农机事务中心</w:t>
            </w:r>
          </w:p>
        </w:tc>
      </w:tr>
    </w:tbl>
    <w:p w14:paraId="520B553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D0F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C7B211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FB67FDC">
            <w:pPr>
              <w:keepNext w:val="0"/>
              <w:keepLines w:val="0"/>
              <w:widowControl/>
              <w:suppressLineNumbers w:val="0"/>
              <w:jc w:val="left"/>
              <w:rPr>
                <w:kern w:val="0"/>
                <w:sz w:val="20"/>
                <w:szCs w:val="20"/>
                <w:bdr w:val="none" w:color="auto" w:sz="0" w:space="0"/>
                <w:lang w:val="en-US"/>
              </w:rPr>
            </w:pPr>
          </w:p>
        </w:tc>
      </w:tr>
    </w:tbl>
    <w:p w14:paraId="37BBC032">
      <w:pPr>
        <w:ind w:left="0" w:firstLine="723" w:firstLineChars="300"/>
        <w:rPr>
          <w:rFonts w:hint="eastAsia" w:ascii="黑体" w:hAnsi="宋体" w:eastAsia="黑体" w:cs="黑体"/>
          <w:b/>
          <w:bCs/>
          <w:sz w:val="24"/>
          <w:szCs w:val="24"/>
          <w:u w:val="single"/>
          <w:lang w:val="en-US"/>
        </w:rPr>
      </w:pPr>
    </w:p>
    <w:p w14:paraId="66F1E2EC">
      <w:pPr>
        <w:jc w:val="center"/>
        <w:rPr>
          <w:rFonts w:hint="eastAsia" w:ascii="黑体" w:hAnsi="宋体" w:eastAsia="黑体" w:cs="黑体"/>
          <w:b/>
          <w:bCs/>
          <w:sz w:val="30"/>
          <w:szCs w:val="24"/>
          <w:u w:val="single"/>
          <w:lang w:val="en-US"/>
        </w:rPr>
      </w:pPr>
    </w:p>
    <w:p w14:paraId="429CEC0D">
      <w:pPr>
        <w:jc w:val="center"/>
        <w:rPr>
          <w:rFonts w:hint="eastAsia" w:ascii="黑体" w:hAnsi="宋体" w:eastAsia="黑体" w:cs="黑体"/>
          <w:b/>
          <w:bCs/>
          <w:sz w:val="30"/>
          <w:szCs w:val="24"/>
          <w:u w:val="single"/>
          <w:lang w:val="en-US"/>
        </w:rPr>
      </w:pPr>
    </w:p>
    <w:p w14:paraId="4873AFC8">
      <w:pPr>
        <w:jc w:val="center"/>
        <w:rPr>
          <w:u w:val="single"/>
          <w:lang w:val="en-US"/>
        </w:rPr>
      </w:pPr>
    </w:p>
    <w:p w14:paraId="7B43CA7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DDAF662">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9F2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35C36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2E42F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801C2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974C8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FD0B9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F51ACE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586E2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847E091">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桃江县农机事务中心</w:t>
            </w:r>
          </w:p>
        </w:tc>
      </w:tr>
      <w:tr w14:paraId="37B6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61EF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DF2D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0258C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F40292">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主管全县农业机械化工作，提高农业机械化水平。 农业机械管理 农业机械产业管理 农业机械市场管理 农业机械化技术管理与推广 其他相关管理与服务</w:t>
            </w:r>
          </w:p>
        </w:tc>
      </w:tr>
      <w:tr w14:paraId="5943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F0F5E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82D86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F3F4927">
            <w:pPr>
              <w:jc w:val="left"/>
            </w:pPr>
            <w:r>
              <w:rPr>
                <w:rStyle w:val="20"/>
                <w:rFonts w:hint="eastAsia" w:ascii="楷体_GB2312" w:eastAsia="楷体_GB2312" w:cs="楷体_GB2312"/>
                <w:sz w:val="28"/>
                <w:szCs w:val="28"/>
                <w:bdr w:val="none" w:color="auto" w:sz="0" w:space="0"/>
                <w:lang w:val="en-US"/>
              </w:rPr>
              <w:t>桃江县桃花江镇近桃路232号</w:t>
            </w:r>
          </w:p>
        </w:tc>
      </w:tr>
      <w:tr w14:paraId="14DC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AAC946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29294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FE67196">
            <w:pPr>
              <w:jc w:val="left"/>
            </w:pPr>
            <w:r>
              <w:rPr>
                <w:rStyle w:val="20"/>
                <w:rFonts w:hint="eastAsia" w:ascii="楷体_GB2312" w:eastAsia="楷体_GB2312" w:cs="楷体_GB2312"/>
                <w:sz w:val="28"/>
                <w:szCs w:val="28"/>
                <w:bdr w:val="none" w:color="auto" w:sz="0" w:space="0"/>
                <w:lang w:val="en-US"/>
              </w:rPr>
              <w:t>夏伟财</w:t>
            </w:r>
          </w:p>
        </w:tc>
      </w:tr>
      <w:tr w14:paraId="5AC4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3EE96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C0F2A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745AC25">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135</w:t>
            </w:r>
            <w:r>
              <w:rPr>
                <w:rStyle w:val="20"/>
                <w:rFonts w:hint="eastAsia" w:ascii="楷体_GB2312" w:eastAsia="楷体_GB2312" w:cs="楷体_GB2312"/>
                <w:sz w:val="28"/>
                <w:szCs w:val="28"/>
                <w:bdr w:val="none" w:color="auto" w:sz="0" w:space="0"/>
              </w:rPr>
              <w:t>（万元）</w:t>
            </w:r>
          </w:p>
        </w:tc>
      </w:tr>
      <w:tr w14:paraId="36FC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501AE0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7890E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9FADBF9">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14:paraId="3113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EDDFE1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AB8B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27DD37C">
            <w:pPr>
              <w:jc w:val="left"/>
            </w:pPr>
            <w:r>
              <w:rPr>
                <w:rStyle w:val="20"/>
                <w:rFonts w:hint="eastAsia" w:ascii="楷体_GB2312" w:eastAsia="楷体_GB2312" w:cs="楷体_GB2312"/>
                <w:sz w:val="28"/>
                <w:szCs w:val="28"/>
                <w:bdr w:val="none" w:color="auto" w:sz="0" w:space="0"/>
                <w:lang w:val="en-US"/>
              </w:rPr>
              <w:t>桃江县农业农村局</w:t>
            </w:r>
          </w:p>
        </w:tc>
      </w:tr>
      <w:tr w14:paraId="650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218794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C9027B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6C0F52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5334717">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5CF5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1E8364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F673758">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4DF72FF">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14D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182317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B911689">
            <w:pPr>
              <w:jc w:val="center"/>
              <w:rPr>
                <w:sz w:val="32"/>
                <w:szCs w:val="24"/>
                <w:bdr w:val="none" w:color="auto" w:sz="0" w:space="0"/>
                <w:lang w:val="en-US"/>
              </w:rPr>
            </w:pPr>
            <w:r>
              <w:rPr>
                <w:rStyle w:val="15"/>
                <w:sz w:val="32"/>
                <w:szCs w:val="24"/>
                <w:bdr w:val="none" w:color="auto" w:sz="0" w:space="0"/>
                <w:lang w:val="en-US"/>
              </w:rPr>
              <w:t>134.7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1040DE3">
            <w:pPr>
              <w:jc w:val="center"/>
            </w:pPr>
            <w:r>
              <w:rPr>
                <w:rStyle w:val="20"/>
                <w:sz w:val="32"/>
                <w:szCs w:val="32"/>
                <w:bdr w:val="none" w:color="auto" w:sz="0" w:space="0"/>
                <w:lang w:val="en-US"/>
              </w:rPr>
              <w:t>127.8</w:t>
            </w:r>
          </w:p>
        </w:tc>
      </w:tr>
      <w:tr w14:paraId="5BEF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1A0960F">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D8AA970">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桃江县农机事务中心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1303471">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2584381A">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12</w:t>
            </w:r>
          </w:p>
        </w:tc>
      </w:tr>
      <w:tr w14:paraId="63BB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96475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A1574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12722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392C6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D255D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5D43D9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C778A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D59F4A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D7857E4">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按规定完成相关工作</w:t>
            </w:r>
          </w:p>
        </w:tc>
      </w:tr>
      <w:tr w14:paraId="41F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0ECC2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2F0E1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1C9AA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A7BA8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7EBF3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68577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3C706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8ED6CCD">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8CD86F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一、开展农机购置补贴工作及自查自纠。 根据上级《关于开展农机购置与应用补贴政策实施情况专项检查的通知》要求成立了专项工作专班，出台《2023年桃江县农机购置补贴机具复核工作方案》，开展了自查自纠，重点检查了2020年以来农机购置补贴工作情况，按通知整改、规范了购机补贴相关工作，做到农机购置补贴信息公开和购机补贴政策宣传到位，按要求复核了各乡镇新购农机具，补贴资金及时拨付到位。 全年共争取农机购置补贴资金1942万元，已分四批次发放农机购置补贴1116.0134万元，剩余资金将按规定分批发放。 二、完成多个全县农机化工作调研 1.响应农业农村部《开展农机化技术推广工作“强体系、提能力、优服务”专题调研的通知》，4-6月份对县、乡镇两级农机推广系统作出详细数据调研，并形成了《桃江县农机化技术推广工作“强体系、提能力、优服务”专题调研报告。 2.完成了全县“补齐农业机械化短板调查报告”（丘陵地区）。 3.完成了“桃江县农机社会化服务组织设施用地调研报告”。 4.完成了“2023年桃江县区域农机维修中心调研报告”。 5.完成了“桃江县农机作业监测系统调研报告”。 6.完成了“2023桃江早稻社会服务能力及成本调研”。 7.完成了“2023年桃江县数字农业调研报告”。 8.完成了“2023年桃江县农机推广系统调研”。三、创建“平安农机”示范乡镇5个，申报创建省级及全国“平安农机”示范县 今年，成功创建桃花江、三堂街、马迹塘、松木塘、灰山港5个乡镇为省级“平安农机”示范乡镇。 年初着手组织创建省级及全国“平安农机”示范县。期间召开创建动员会、部署会、乡镇创建业务培训会、县级多部门联席会等多个会议来推动创建工作；提交创建申报材料；搭建县、乡镇、村三级农机安全生产监管平台，形成网格化管理；开展农机“三率”达标行动及推广安责险，全县推广农机安责险722份，年检田间牌证机具355台，驾驶员换证72人；开展了二轮平安农机创建工作督导检查；与应急局联合验收乡镇平安农机创建工作；完善全国“平安农机”示范县创建申报工作；制作创建宣传片；完成县级各项创建指标；完善乡镇、县级创建汇编材料。 全县农机安全形势总体稳定向好，农机上牌率、驾驶人持证率达100%，检验率达89.5%，多年来全县没有发生重特大农机安全事故。目前，已获得全省及全国“平安农机”示范县两个荣誉称号。四、高标准实施设施农业建设项目 今年我县争取到“2023年设施农业示范基地建设项目”300万元，项目建设主体为桃江县先田智慧生态农业有限公司。目前项目正在建设收尾中，已完成项目建设的85%以上，到今年年底项目实施结束，年底邀请县财政局、驻县农业农村局纪检监察组一同进行项目验收，通过后拨付项目资金。五、健全农机应急作业服务体系 县委、县政府为了最大限度减轻农业生产防灾救灾，确保全年农业和农村经济稳定发展，对做好农作物防旱抗旱工作做了重要部署并下发了紧急通知。加强了组织领导，成立以农业分管副县长为组长，政府办联系农业的副主任为常务副组长，相关部门主要负责人为副组长，相关部门分管负责人和各乡镇长为成员的农作物防旱抗旱工作领导小组。通过强化工作责任，细化工作措施，加强协调配合，确保防旱抗旱工作抓实见效。各乡镇切实做到了将农业防灾减灾作为落实粮食安全党政同责的重要内容，建立各级领导防旱抗旱分片负责机制，提前动员部署，全面排查田间旱情、灾情、用水需求量等情况，科学研判旱情发生趋势，及早落实各项防旱抗旱措施。 同时，针对农业机械抗灾救灾能力，县农业农村局成立了农机应急作业服务工作专班，组建了15个常态化农机应急作业服务队伍，覆盖15个乡镇，拥有农机应急作业服务机具1000余台，其中大型固定式水泵150台、运输拖拉机126台、田间拖拉机223台、联合收割189台、插秧机98台、无人植保飞机56台，可调配的各类应急水泵2万余台。 </w:t>
            </w:r>
          </w:p>
          <w:p w14:paraId="4498826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EA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9B6D0D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7A5B5E9">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69F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462474A">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79219B2">
            <w:pPr>
              <w:jc w:val="left"/>
            </w:pPr>
            <w:r>
              <w:rPr>
                <w:rStyle w:val="20"/>
                <w:rFonts w:hint="eastAsia" w:ascii="楷体_GB2312" w:eastAsia="楷体_GB2312" w:cs="楷体_GB2312"/>
                <w:sz w:val="28"/>
                <w:szCs w:val="28"/>
                <w:bdr w:val="none" w:color="auto" w:sz="0" w:space="0"/>
                <w:lang w:val="en-US"/>
              </w:rPr>
              <w:t>无</w:t>
            </w:r>
          </w:p>
        </w:tc>
      </w:tr>
      <w:tr w14:paraId="125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16626A4">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31E2A5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F55B464">
            <w:pPr>
              <w:jc w:val="left"/>
            </w:pPr>
            <w:r>
              <w:rPr>
                <w:rStyle w:val="20"/>
                <w:rFonts w:hint="eastAsia" w:ascii="楷体_GB2312" w:eastAsia="楷体_GB2312" w:cs="楷体_GB2312"/>
                <w:sz w:val="28"/>
                <w:szCs w:val="28"/>
                <w:bdr w:val="none" w:color="auto" w:sz="0" w:space="0"/>
                <w:lang w:val="en-US"/>
              </w:rPr>
              <w:t>无</w:t>
            </w:r>
          </w:p>
        </w:tc>
      </w:tr>
    </w:tbl>
    <w:p w14:paraId="2922B7D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6242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hps"/>
    <w:basedOn w:val="13"/>
    <w:uiPriority w:val="0"/>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1883</Words>
  <Characters>2004</Characters>
  <Lines>4</Lines>
  <Paragraphs>1</Paragraphs>
  <TotalTime>45456.4062500016</TotalTime>
  <ScaleCrop>false</ScaleCrop>
  <LinksUpToDate>false</LinksUpToDate>
  <CharactersWithSpaces>2062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2024-06-13T02:15:49Z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1F614E0E42DA4BA4BBE08644B02A442F_13</vt:lpwstr>
  </property>
</Properties>
</file>