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91D77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A8438D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12430922G0182004X8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A0CEFC9">
      <w:pPr>
        <w:jc w:val="right"/>
        <w:rPr>
          <w:lang w:val="en-US"/>
        </w:rPr>
      </w:pPr>
    </w:p>
    <w:p w14:paraId="52256BD8">
      <w:pPr>
        <w:jc w:val="right"/>
        <w:rPr>
          <w:lang w:val="en-US"/>
        </w:rPr>
      </w:pPr>
    </w:p>
    <w:p w14:paraId="0E4C2E54">
      <w:pPr>
        <w:jc w:val="right"/>
        <w:rPr>
          <w:lang w:val="en-US"/>
        </w:rPr>
      </w:pPr>
    </w:p>
    <w:p w14:paraId="21ADE8C1">
      <w:pPr>
        <w:jc w:val="right"/>
        <w:rPr>
          <w:lang w:val="en-US"/>
        </w:rPr>
      </w:pPr>
    </w:p>
    <w:p w14:paraId="3BBDB33B">
      <w:pPr>
        <w:jc w:val="right"/>
        <w:rPr>
          <w:lang w:val="en-US"/>
        </w:rPr>
      </w:pPr>
    </w:p>
    <w:p w14:paraId="53FA37E5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A5D7CD3">
      <w:pPr>
        <w:jc w:val="center"/>
        <w:rPr>
          <w:rFonts w:eastAsia="黑体"/>
          <w:b/>
          <w:bCs/>
          <w:spacing w:val="30"/>
          <w:lang w:val="en-US"/>
        </w:rPr>
      </w:pPr>
    </w:p>
    <w:p w14:paraId="0A4D262C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2994624">
      <w:pPr>
        <w:jc w:val="center"/>
        <w:rPr>
          <w:sz w:val="36"/>
          <w:szCs w:val="24"/>
          <w:lang w:val="en-US"/>
        </w:rPr>
      </w:pPr>
    </w:p>
    <w:p w14:paraId="6DA5EC95">
      <w:pPr>
        <w:jc w:val="center"/>
        <w:rPr>
          <w:sz w:val="36"/>
          <w:szCs w:val="24"/>
          <w:lang w:val="en-US"/>
        </w:rPr>
      </w:pPr>
    </w:p>
    <w:p w14:paraId="1EF68C4B">
      <w:pPr>
        <w:jc w:val="center"/>
        <w:rPr>
          <w:sz w:val="36"/>
          <w:szCs w:val="24"/>
          <w:lang w:val="en-US"/>
        </w:rPr>
      </w:pPr>
    </w:p>
    <w:p w14:paraId="6BC1A1EC">
      <w:pPr>
        <w:jc w:val="center"/>
        <w:rPr>
          <w:sz w:val="36"/>
          <w:szCs w:val="24"/>
          <w:lang w:val="en-US"/>
        </w:rPr>
      </w:pPr>
    </w:p>
    <w:p w14:paraId="52264F09">
      <w:pPr>
        <w:jc w:val="center"/>
        <w:rPr>
          <w:sz w:val="36"/>
          <w:szCs w:val="24"/>
          <w:lang w:val="en-US"/>
        </w:rPr>
      </w:pPr>
    </w:p>
    <w:p w14:paraId="70B6C559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EFB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41E4870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9EEB68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桃江县农村安全饮水工程管理站</w:t>
            </w:r>
          </w:p>
        </w:tc>
      </w:tr>
    </w:tbl>
    <w:p w14:paraId="2AC9FFB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2F6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2F42D00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7524ED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F52539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E773F7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09A509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1383858">
      <w:pPr>
        <w:jc w:val="center"/>
        <w:rPr>
          <w:u w:val="single"/>
          <w:lang w:val="en-US"/>
        </w:rPr>
      </w:pPr>
    </w:p>
    <w:p w14:paraId="6ADEBF4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FCD14E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FBF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2ED0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759DB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0E6E6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76FA3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7ABAF4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39FCC9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F887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B1CB144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桃江县农村安全饮水工程管理站</w:t>
            </w:r>
          </w:p>
        </w:tc>
      </w:tr>
      <w:tr w14:paraId="3CE5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2D3B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8DBC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B7C38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E3626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负责全县农村安全饮水工程规划、申报和行业管理，按照职责分工，对全县农村安全饮水工程运行实施监管。</w:t>
            </w:r>
          </w:p>
        </w:tc>
      </w:tr>
      <w:tr w14:paraId="4D28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D756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7A44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2BBAFF3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桃江县桃花江镇芙蓉路65号</w:t>
            </w:r>
          </w:p>
        </w:tc>
      </w:tr>
      <w:tr w14:paraId="0368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B531D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3169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12E86F4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苏星</w:t>
            </w:r>
          </w:p>
        </w:tc>
      </w:tr>
      <w:tr w14:paraId="0F03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E40C6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95C0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715D73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3.9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F7C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9A55D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8582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F185718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4CDD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D18BA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3C88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5524464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桃江县水利局</w:t>
            </w:r>
          </w:p>
        </w:tc>
      </w:tr>
      <w:tr w14:paraId="1E2E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CA9E8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7C7F56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3F537D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E6FC2E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B10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CBEAD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1B9CA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5F51CE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A1C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CA2E0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BFB13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3.9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CBB5FD5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3.9</w:t>
            </w:r>
          </w:p>
        </w:tc>
      </w:tr>
      <w:tr w14:paraId="66E3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97E471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BB864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桃江县农村安全饮水工程管理站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83D13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36EE5D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5AC49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0055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48E21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6AA13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44F2F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D3C7D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6421D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D7912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6BD2F1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396230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严格按照《条例》和实施细则有关变更登记规定执行</w:t>
            </w:r>
          </w:p>
        </w:tc>
      </w:tr>
      <w:tr w14:paraId="2C4D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0593A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E5C8C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15D19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C1379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7E593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3F46A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DCE33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28C55E3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2D961F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．制定了2023年农村饮水水质年度检测方案，联合县卫健、县疾控中心完成了一、二、三、四季度农饮工程水质抽检工作。二、四季度联合县卫监、县疾控对全县所有农饮工程进行了一次全面水质检测、卫生监督和工程巡查。 2．完成了2023年度农村饮水工程的消毒药剂采购及配送工作，确保水质安全。 3．完成下发了《2023年农村供水工程维修养护项目实施方案》，并督促配合乡镇按时完成维修养护任务，维修养护48处，完成中央资金225万元，受益人口20.26万人；下发了省级维修养护资金42万元，巩固提升1处；下发乡村振兴有效衔接资金40万元，巩固提升2处；下发市级维修养护资金9万元，巩固提升2处。 4．积极推进桃江县千人以上集中式饮用水水源地规范化建设项目，目前该项目已完成90%。 5．积极推进桃江县城乡供水一体化（克上冲水厂改扩建暨灰山港产业开发区集中供水）项目，已完成该项目的招投标并于11月21日开始施工。 6．积极推进桃江县城乡供水一体化（克上冲水库水源应急清淤扩容）项目。 7．6月、11月份配合市水利局完成了对我县11处农饮工程水质抽样检测工作，对不合格水厂及时进行了整改。 8．完成了2023年11处农村供水工程标准化管理评价工作，其中克上冲水厂通过省级评价，5处水厂通过市级评价。 9．完成了鸬鹚渡镇蒋家冲村供水工程置换方案，目前在建设水厂部分。 10．完成了防止返贫监测帮扶两不愁三保障饮水安全保障排查。 11．完成了人大建议、政协提案的现场调查及回复工作。 12．为确保农村正常供水，积极配合指导乡镇进行抗旱保供工作并提供技术支撑。 13．按照上级要求，为确保水厂正常运行，及时下发了“关于开展农村供水工程专项排查的通知”。根据排查结果对发现的问题，督促并指导乡镇及时进行整改，确保工程效益的正常发挥。 </w:t>
            </w:r>
          </w:p>
          <w:p w14:paraId="071A0BE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F83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7FA8D3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3F351F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20CAF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4F822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2986373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526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144431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DD0C9D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DDA619E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D0EAA8A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>易铁山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 xml:space="preserve">13874328516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20"/>
          <w:rFonts w:hint="eastAsia" w:ascii="楷体_GB2312" w:eastAsia="楷体_GB2312" w:cs="楷体_GB2312"/>
          <w:b/>
          <w:bCs/>
          <w:sz w:val="28"/>
          <w:szCs w:val="28"/>
          <w:lang w:val="en-US"/>
        </w:rPr>
        <w:t>2024年02月27日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E7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hps"/>
    <w:basedOn w:val="13"/>
    <w:uiPriority w:val="0"/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1094</Words>
  <Characters>1168</Characters>
  <Lines>4</Lines>
  <Paragraphs>1</Paragraphs>
  <TotalTime>45455.6875000016</TotalTime>
  <ScaleCrop>false</ScaleCrop>
  <LinksUpToDate>false</LinksUpToDate>
  <CharactersWithSpaces>1216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2024-06-12T08:44:50Z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D691A05BB5994E3A9324C94A61F918FC_13</vt:lpwstr>
  </property>
</Properties>
</file>