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7D832F">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CD7E927">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12430922MB1A79338K</w:t>
      </w:r>
      <w:r>
        <w:rPr>
          <w:rFonts w:eastAsia="楷体_GB2312"/>
          <w:b/>
          <w:bCs/>
          <w:sz w:val="30"/>
          <w:szCs w:val="24"/>
          <w:lang w:val="en-US"/>
        </w:rPr>
        <w:t xml:space="preserve">   </w:t>
      </w:r>
    </w:p>
    <w:p w14:paraId="6B74FBBA">
      <w:pPr>
        <w:jc w:val="right"/>
        <w:rPr>
          <w:lang w:val="en-US"/>
        </w:rPr>
      </w:pPr>
    </w:p>
    <w:p w14:paraId="15D61460">
      <w:pPr>
        <w:jc w:val="right"/>
        <w:rPr>
          <w:lang w:val="en-US"/>
        </w:rPr>
      </w:pPr>
    </w:p>
    <w:p w14:paraId="3C9E398E">
      <w:pPr>
        <w:jc w:val="right"/>
        <w:rPr>
          <w:lang w:val="en-US"/>
        </w:rPr>
      </w:pPr>
    </w:p>
    <w:p w14:paraId="1EDF46F6">
      <w:pPr>
        <w:jc w:val="right"/>
        <w:rPr>
          <w:lang w:val="en-US"/>
        </w:rPr>
      </w:pPr>
    </w:p>
    <w:p w14:paraId="2AFA2A54">
      <w:pPr>
        <w:jc w:val="right"/>
        <w:rPr>
          <w:lang w:val="en-US"/>
        </w:rPr>
      </w:pPr>
    </w:p>
    <w:p w14:paraId="1F0B74AC">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F901D08">
      <w:pPr>
        <w:jc w:val="center"/>
        <w:rPr>
          <w:rFonts w:eastAsia="黑体"/>
          <w:b/>
          <w:bCs/>
          <w:spacing w:val="30"/>
          <w:lang w:val="en-US"/>
        </w:rPr>
      </w:pPr>
    </w:p>
    <w:p w14:paraId="4891ACDF">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1622757">
      <w:pPr>
        <w:jc w:val="center"/>
        <w:rPr>
          <w:sz w:val="36"/>
          <w:szCs w:val="24"/>
          <w:lang w:val="en-US"/>
        </w:rPr>
      </w:pPr>
    </w:p>
    <w:p w14:paraId="07753204">
      <w:pPr>
        <w:jc w:val="center"/>
        <w:rPr>
          <w:sz w:val="36"/>
          <w:szCs w:val="24"/>
          <w:lang w:val="en-US"/>
        </w:rPr>
      </w:pPr>
    </w:p>
    <w:p w14:paraId="799FDB7C">
      <w:pPr>
        <w:jc w:val="center"/>
        <w:rPr>
          <w:sz w:val="36"/>
          <w:szCs w:val="24"/>
          <w:lang w:val="en-US"/>
        </w:rPr>
      </w:pPr>
    </w:p>
    <w:p w14:paraId="7E93FA01">
      <w:pPr>
        <w:jc w:val="center"/>
        <w:rPr>
          <w:sz w:val="36"/>
          <w:szCs w:val="24"/>
          <w:lang w:val="en-US"/>
        </w:rPr>
      </w:pPr>
    </w:p>
    <w:p w14:paraId="2210FAAF">
      <w:pPr>
        <w:jc w:val="center"/>
        <w:rPr>
          <w:sz w:val="36"/>
          <w:szCs w:val="24"/>
          <w:lang w:val="en-US"/>
        </w:rPr>
      </w:pPr>
    </w:p>
    <w:p w14:paraId="34C6906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D94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FBD0D04">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48438E3">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桃江县人大预算联网监督中心</w:t>
            </w:r>
          </w:p>
        </w:tc>
      </w:tr>
    </w:tbl>
    <w:p w14:paraId="56B9EF6D">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CD1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788C2CF1">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A968598">
            <w:pPr>
              <w:keepNext w:val="0"/>
              <w:keepLines w:val="0"/>
              <w:widowControl/>
              <w:suppressLineNumbers w:val="0"/>
              <w:jc w:val="left"/>
              <w:rPr>
                <w:kern w:val="0"/>
                <w:sz w:val="20"/>
                <w:szCs w:val="20"/>
                <w:bdr w:val="none" w:color="auto" w:sz="0" w:space="0"/>
                <w:lang w:val="en-US"/>
              </w:rPr>
            </w:pPr>
          </w:p>
        </w:tc>
      </w:tr>
    </w:tbl>
    <w:p w14:paraId="5F6A33A6">
      <w:pPr>
        <w:ind w:left="0" w:firstLine="723" w:firstLineChars="300"/>
        <w:rPr>
          <w:rFonts w:hint="eastAsia" w:ascii="黑体" w:hAnsi="宋体" w:eastAsia="黑体" w:cs="黑体"/>
          <w:b/>
          <w:bCs/>
          <w:sz w:val="24"/>
          <w:szCs w:val="24"/>
          <w:u w:val="single"/>
          <w:lang w:val="en-US"/>
        </w:rPr>
      </w:pPr>
    </w:p>
    <w:p w14:paraId="7DAC4D0D">
      <w:pPr>
        <w:jc w:val="center"/>
        <w:rPr>
          <w:rFonts w:hint="eastAsia" w:ascii="黑体" w:hAnsi="宋体" w:eastAsia="黑体" w:cs="黑体"/>
          <w:b/>
          <w:bCs/>
          <w:sz w:val="30"/>
          <w:szCs w:val="24"/>
          <w:u w:val="single"/>
          <w:lang w:val="en-US"/>
        </w:rPr>
      </w:pPr>
    </w:p>
    <w:p w14:paraId="2D2CFA8E">
      <w:pPr>
        <w:jc w:val="center"/>
        <w:rPr>
          <w:rFonts w:hint="eastAsia" w:ascii="黑体" w:hAnsi="宋体" w:eastAsia="黑体" w:cs="黑体"/>
          <w:b/>
          <w:bCs/>
          <w:sz w:val="30"/>
          <w:szCs w:val="24"/>
          <w:u w:val="single"/>
          <w:lang w:val="en-US"/>
        </w:rPr>
      </w:pPr>
    </w:p>
    <w:p w14:paraId="64EBD9D6">
      <w:pPr>
        <w:jc w:val="center"/>
        <w:rPr>
          <w:u w:val="single"/>
          <w:lang w:val="en-US"/>
        </w:rPr>
      </w:pPr>
    </w:p>
    <w:p w14:paraId="6C6D5588">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66DD44A">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930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20F633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8E8EA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6DA066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C2599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C8BCB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C424DB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E1248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A4290F6">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桃江县人大预算联网监督中心</w:t>
            </w:r>
          </w:p>
        </w:tc>
      </w:tr>
      <w:tr w14:paraId="698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12F34F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FA057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9767E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331DF53">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本单位的宗旨是：推进预算联网监督工作，提高预算审查监督实效，更好地发挥人民代表制度优势。 本单位的业务范围包括：承担预算联网监督的日常服务工作，为县人大及其常委会履行预算决算审查监督职责提供信息服务与技术支撑，向县人大财政经济委员会（县人大常委会预算工作委员会）提出预警、分析等报告。</w:t>
            </w:r>
          </w:p>
        </w:tc>
      </w:tr>
      <w:tr w14:paraId="0425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F2B08A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F5BD6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CC15C4E">
            <w:pPr>
              <w:jc w:val="left"/>
            </w:pPr>
            <w:r>
              <w:rPr>
                <w:rStyle w:val="20"/>
                <w:rFonts w:hint="eastAsia" w:ascii="楷体_GB2312" w:eastAsia="楷体_GB2312" w:cs="楷体_GB2312"/>
                <w:sz w:val="28"/>
                <w:szCs w:val="28"/>
                <w:bdr w:val="none" w:color="auto" w:sz="0" w:space="0"/>
                <w:lang w:val="en-US"/>
              </w:rPr>
              <w:t>湖南桃江县桃花江镇金盆路党政大楼四楼</w:t>
            </w:r>
          </w:p>
        </w:tc>
      </w:tr>
      <w:tr w14:paraId="3569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EDE039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5A14C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FABF836">
            <w:pPr>
              <w:jc w:val="left"/>
            </w:pPr>
            <w:r>
              <w:rPr>
                <w:rStyle w:val="20"/>
                <w:rFonts w:hint="eastAsia" w:ascii="楷体_GB2312" w:eastAsia="楷体_GB2312" w:cs="楷体_GB2312"/>
                <w:sz w:val="28"/>
                <w:szCs w:val="28"/>
                <w:bdr w:val="none" w:color="auto" w:sz="0" w:space="0"/>
                <w:lang w:val="en-US"/>
              </w:rPr>
              <w:t>文婧靓</w:t>
            </w:r>
          </w:p>
        </w:tc>
      </w:tr>
      <w:tr w14:paraId="7746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109752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0AE0AC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5E39545">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80</w:t>
            </w:r>
            <w:r>
              <w:rPr>
                <w:rStyle w:val="20"/>
                <w:rFonts w:hint="eastAsia" w:ascii="楷体_GB2312" w:eastAsia="楷体_GB2312" w:cs="楷体_GB2312"/>
                <w:sz w:val="28"/>
                <w:szCs w:val="28"/>
                <w:bdr w:val="none" w:color="auto" w:sz="0" w:space="0"/>
              </w:rPr>
              <w:t>（万元）</w:t>
            </w:r>
          </w:p>
        </w:tc>
      </w:tr>
      <w:tr w14:paraId="6B26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758299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1DC2E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E62F9A0">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6335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86D25F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7DD025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3112D77">
            <w:pPr>
              <w:jc w:val="left"/>
            </w:pPr>
            <w:r>
              <w:rPr>
                <w:rStyle w:val="20"/>
                <w:rFonts w:hint="eastAsia" w:ascii="楷体_GB2312" w:eastAsia="楷体_GB2312" w:cs="楷体_GB2312"/>
                <w:sz w:val="28"/>
                <w:szCs w:val="28"/>
                <w:bdr w:val="none" w:color="auto" w:sz="0" w:space="0"/>
                <w:lang w:val="en-US"/>
              </w:rPr>
              <w:t>桃江县人民代表大会常务委员会办公室</w:t>
            </w:r>
          </w:p>
        </w:tc>
      </w:tr>
      <w:tr w14:paraId="36DC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7D7E03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82651D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584EB1D">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009256B">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29DB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D9DF75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6EC48E7">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A256277">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5CAC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460C83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6C9353C">
            <w:pPr>
              <w:jc w:val="center"/>
              <w:rPr>
                <w:sz w:val="32"/>
                <w:szCs w:val="24"/>
                <w:bdr w:val="none" w:color="auto" w:sz="0" w:space="0"/>
                <w:lang w:val="en-US"/>
              </w:rPr>
            </w:pPr>
            <w:r>
              <w:rPr>
                <w:rStyle w:val="19"/>
                <w:sz w:val="32"/>
                <w:szCs w:val="24"/>
                <w:bdr w:val="none" w:color="auto" w:sz="0" w:space="0"/>
                <w:lang w:val="en-US"/>
              </w:rPr>
              <w:t>80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0C4EAD1">
            <w:pPr>
              <w:jc w:val="center"/>
            </w:pPr>
            <w:r>
              <w:rPr>
                <w:rStyle w:val="20"/>
                <w:sz w:val="32"/>
                <w:szCs w:val="32"/>
                <w:bdr w:val="none" w:color="auto" w:sz="0" w:space="0"/>
                <w:lang w:val="en-US"/>
              </w:rPr>
              <w:t>80</w:t>
            </w:r>
          </w:p>
        </w:tc>
      </w:tr>
      <w:tr w14:paraId="32BF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925E85D">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8527392">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桃江县人大预算联网监督中心.公益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EC77554">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25ED7A3">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5</w:t>
            </w:r>
          </w:p>
        </w:tc>
      </w:tr>
      <w:tr w14:paraId="503F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59A1B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BD14C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195DE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D93F9D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EEAB9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80F68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48ABD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6AFCFC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8BAC776">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14:paraId="7DDD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CD7E86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884A3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9A6CD2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4491B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C141D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DB86A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FA4961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8CB896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2D7375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一、严格执行了桃江县人大预算联网监督中心章程。 二、围绕宗旨和业务范围开展了以下业务活动：1、建立制度，规范工作运行。一是县十七届人大常委会第三十九次主任会议审议通过了《桃江县人大预算联网监督管理办法》，加强和规范了预算联网监督日常工作。二是制定《桃江县人大预算联网监督保密规定》，确保预算联网监督系统数据信息安全。三是明确工作人员责任分工，落实岗位责任，将联网监督日常查询和定期分析制度化、规范化、常态化。2、夯实基础，完善系统功能。二是完善系统查询功能。在支出明细表中增加部门、用途、项目明细等搜索功能，强化对总预算执行和部门预算执行的实时监督。在指标明细表中增加部门、指标文号、项目类型等搜索功能，实现对指标的分类查询。增加结算专户明细表，清晰区分预算内和结算专户收支。三是完善系统分析功能。对总预算、部门预算、总预算执行、部门预算执行的相关图表进行改进与设计，使监督图表更加清晰直观。四是定期与软件公司对接。要求软件公司指定专人进行月报数据更新和系统定期维护，对联网监督中心提交的监督系统问题于两周内回复处理结果。3、突出重点，发挥监督实效。一是有序开展专题监督。建立了重点税源、政府债务、重点民生、重点项目等专题，逐步深化和拓展系统服务功能。二是定期开展日常监督。按月收集、上传和分析财政预算执行情况、主要经济指标和税收收入完成情况，按月编制《桃江县经济有关情况》季度报告，为常委会领导决策提供参考。三是结合其他重点工作开展监督。围绕常委会审议议题，代表建议批评意见和“同级审”确定的审计单位开展重点监督，并与相关部门实时对接，拓展了监督内容，提升了监督实效。 三、进一步提高预算联网监督针对性和实效性，为县人大及其常委会履行预算决算审查监督职责提供信息服务与技术支撑，向县人大财政经济委员会（县人大常委会预算工作委员会）提出预警、分析等报告。 </w:t>
            </w:r>
          </w:p>
          <w:p w14:paraId="1EAF802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85F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5079C05">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6FCEE0F">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3025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0058011">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C25701E">
            <w:pPr>
              <w:jc w:val="left"/>
            </w:pPr>
            <w:r>
              <w:rPr>
                <w:rStyle w:val="20"/>
                <w:rFonts w:hint="eastAsia" w:ascii="楷体_GB2312" w:eastAsia="楷体_GB2312" w:cs="楷体_GB2312"/>
                <w:sz w:val="28"/>
                <w:szCs w:val="28"/>
                <w:bdr w:val="none" w:color="auto" w:sz="0" w:space="0"/>
                <w:lang w:val="en-US"/>
              </w:rPr>
              <w:t>无</w:t>
            </w:r>
          </w:p>
        </w:tc>
      </w:tr>
      <w:tr w14:paraId="6FB3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80A2EC1">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29FFD3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ABA4814">
            <w:pPr>
              <w:jc w:val="left"/>
            </w:pPr>
            <w:r>
              <w:rPr>
                <w:rStyle w:val="20"/>
                <w:rFonts w:hint="eastAsia" w:ascii="楷体_GB2312" w:eastAsia="楷体_GB2312" w:cs="楷体_GB2312"/>
                <w:sz w:val="28"/>
                <w:szCs w:val="28"/>
                <w:bdr w:val="none" w:color="auto" w:sz="0" w:space="0"/>
                <w:lang w:val="en-US"/>
              </w:rPr>
              <w:t>无</w:t>
            </w:r>
          </w:p>
        </w:tc>
      </w:tr>
    </w:tbl>
    <w:p w14:paraId="2F1C1EA1">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47C6C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hps"/>
    <w:basedOn w:val="13"/>
    <w:uiPriority w:val="0"/>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1241</Words>
  <Characters>1279</Characters>
  <Lines>4</Lines>
  <Paragraphs>1</Paragraphs>
  <TotalTime>45455.7187500016</TotalTime>
  <ScaleCrop>false</ScaleCrop>
  <LinksUpToDate>false</LinksUpToDate>
  <CharactersWithSpaces>1318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2024-06-12T09:22:04Z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8E8116BB773341439D915A69987A660B_13</vt:lpwstr>
  </property>
</Properties>
</file>