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B05603">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9875DEC">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124309224470201555</w:t>
      </w:r>
      <w:r>
        <w:rPr>
          <w:rFonts w:eastAsia="楷体_GB2312"/>
          <w:b/>
          <w:bCs/>
          <w:sz w:val="30"/>
          <w:szCs w:val="24"/>
          <w:lang w:val="en-US"/>
        </w:rPr>
        <w:t xml:space="preserve">   </w:t>
      </w:r>
    </w:p>
    <w:p w14:paraId="427B4CDD">
      <w:pPr>
        <w:jc w:val="right"/>
        <w:rPr>
          <w:lang w:val="en-US"/>
        </w:rPr>
      </w:pPr>
    </w:p>
    <w:p w14:paraId="2F7FB241">
      <w:pPr>
        <w:jc w:val="right"/>
        <w:rPr>
          <w:lang w:val="en-US"/>
        </w:rPr>
      </w:pPr>
    </w:p>
    <w:p w14:paraId="7D49E0A0">
      <w:pPr>
        <w:jc w:val="right"/>
        <w:rPr>
          <w:lang w:val="en-US"/>
        </w:rPr>
      </w:pPr>
    </w:p>
    <w:p w14:paraId="48E6D438">
      <w:pPr>
        <w:jc w:val="right"/>
        <w:rPr>
          <w:lang w:val="en-US"/>
        </w:rPr>
      </w:pPr>
    </w:p>
    <w:p w14:paraId="3B7745B0">
      <w:pPr>
        <w:jc w:val="right"/>
        <w:rPr>
          <w:lang w:val="en-US"/>
        </w:rPr>
      </w:pPr>
    </w:p>
    <w:p w14:paraId="66CA8EB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3CD2395">
      <w:pPr>
        <w:jc w:val="center"/>
        <w:rPr>
          <w:rFonts w:eastAsia="黑体"/>
          <w:b/>
          <w:bCs/>
          <w:spacing w:val="30"/>
          <w:lang w:val="en-US"/>
        </w:rPr>
      </w:pPr>
    </w:p>
    <w:p w14:paraId="1EAC0193">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8ACEEF4">
      <w:pPr>
        <w:jc w:val="center"/>
        <w:rPr>
          <w:sz w:val="36"/>
          <w:szCs w:val="24"/>
          <w:lang w:val="en-US"/>
        </w:rPr>
      </w:pPr>
    </w:p>
    <w:p w14:paraId="2CBD4F57">
      <w:pPr>
        <w:jc w:val="center"/>
        <w:rPr>
          <w:sz w:val="36"/>
          <w:szCs w:val="24"/>
          <w:lang w:val="en-US"/>
        </w:rPr>
      </w:pPr>
    </w:p>
    <w:p w14:paraId="7ED02B16">
      <w:pPr>
        <w:jc w:val="center"/>
        <w:rPr>
          <w:sz w:val="36"/>
          <w:szCs w:val="24"/>
          <w:lang w:val="en-US"/>
        </w:rPr>
      </w:pPr>
    </w:p>
    <w:p w14:paraId="6530C3B4">
      <w:pPr>
        <w:jc w:val="center"/>
        <w:rPr>
          <w:sz w:val="36"/>
          <w:szCs w:val="24"/>
          <w:lang w:val="en-US"/>
        </w:rPr>
      </w:pPr>
    </w:p>
    <w:p w14:paraId="37A083D4">
      <w:pPr>
        <w:jc w:val="center"/>
        <w:rPr>
          <w:sz w:val="36"/>
          <w:szCs w:val="24"/>
          <w:lang w:val="en-US"/>
        </w:rPr>
      </w:pPr>
    </w:p>
    <w:p w14:paraId="58AE21A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32C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4D475CC">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293C2A9">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桃江县农业机械化推广服务站</w:t>
            </w:r>
          </w:p>
        </w:tc>
      </w:tr>
    </w:tbl>
    <w:p w14:paraId="29C73F94">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3EC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048CCC1">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11DB6DD">
            <w:pPr>
              <w:keepNext w:val="0"/>
              <w:keepLines w:val="0"/>
              <w:widowControl/>
              <w:suppressLineNumbers w:val="0"/>
              <w:jc w:val="left"/>
              <w:rPr>
                <w:kern w:val="0"/>
                <w:sz w:val="20"/>
                <w:szCs w:val="20"/>
                <w:bdr w:val="none" w:color="auto" w:sz="0" w:space="0"/>
                <w:lang w:val="en-US"/>
              </w:rPr>
            </w:pPr>
          </w:p>
        </w:tc>
      </w:tr>
    </w:tbl>
    <w:p w14:paraId="764CC74A">
      <w:pPr>
        <w:ind w:left="0" w:firstLine="723" w:firstLineChars="300"/>
        <w:rPr>
          <w:rFonts w:hint="eastAsia" w:ascii="黑体" w:hAnsi="宋体" w:eastAsia="黑体" w:cs="黑体"/>
          <w:b/>
          <w:bCs/>
          <w:sz w:val="24"/>
          <w:szCs w:val="24"/>
          <w:u w:val="single"/>
          <w:lang w:val="en-US"/>
        </w:rPr>
      </w:pPr>
    </w:p>
    <w:p w14:paraId="4B32AA32">
      <w:pPr>
        <w:jc w:val="center"/>
        <w:rPr>
          <w:rFonts w:hint="eastAsia" w:ascii="黑体" w:hAnsi="宋体" w:eastAsia="黑体" w:cs="黑体"/>
          <w:b/>
          <w:bCs/>
          <w:sz w:val="30"/>
          <w:szCs w:val="24"/>
          <w:u w:val="single"/>
          <w:lang w:val="en-US"/>
        </w:rPr>
      </w:pPr>
    </w:p>
    <w:p w14:paraId="47F2FC9D">
      <w:pPr>
        <w:jc w:val="center"/>
        <w:rPr>
          <w:rFonts w:hint="eastAsia" w:ascii="黑体" w:hAnsi="宋体" w:eastAsia="黑体" w:cs="黑体"/>
          <w:b/>
          <w:bCs/>
          <w:sz w:val="30"/>
          <w:szCs w:val="24"/>
          <w:u w:val="single"/>
          <w:lang w:val="en-US"/>
        </w:rPr>
      </w:pPr>
    </w:p>
    <w:p w14:paraId="218BB546">
      <w:pPr>
        <w:jc w:val="center"/>
        <w:rPr>
          <w:u w:val="single"/>
          <w:lang w:val="en-US"/>
        </w:rPr>
      </w:pPr>
    </w:p>
    <w:p w14:paraId="2E42CD8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3E5909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69F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A9A99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C7B8B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5A7E3B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047AB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427F1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E41616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B5E30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70459CE">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桃江县农业机械化推广服务站（桃江县农业机械化学校）</w:t>
            </w:r>
          </w:p>
        </w:tc>
      </w:tr>
      <w:tr w14:paraId="13F6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2412FD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1BDF4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436E4C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4B94978">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推广先进农机技术，提高农业机械化水平。 农机技术推广管理 农机技术推广机构与队伍建设指导 农机技术推广业务指导 农机信息服务 农机培训相关职责</w:t>
            </w:r>
          </w:p>
        </w:tc>
      </w:tr>
      <w:tr w14:paraId="64EC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CBA2CE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000CF8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83F1348">
            <w:pPr>
              <w:jc w:val="left"/>
            </w:pPr>
            <w:r>
              <w:rPr>
                <w:rStyle w:val="19"/>
                <w:rFonts w:hint="eastAsia" w:ascii="楷体_GB2312" w:eastAsia="楷体_GB2312" w:cs="楷体_GB2312"/>
                <w:sz w:val="28"/>
                <w:szCs w:val="28"/>
                <w:bdr w:val="none" w:color="auto" w:sz="0" w:space="0"/>
                <w:lang w:val="en-US"/>
              </w:rPr>
              <w:t>桃江县桃花江镇近桃路232号</w:t>
            </w:r>
          </w:p>
        </w:tc>
      </w:tr>
      <w:tr w14:paraId="6360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757A22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AF231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01AFDDA">
            <w:pPr>
              <w:jc w:val="left"/>
            </w:pPr>
            <w:r>
              <w:rPr>
                <w:rStyle w:val="19"/>
                <w:rFonts w:hint="eastAsia" w:ascii="楷体_GB2312" w:eastAsia="楷体_GB2312" w:cs="楷体_GB2312"/>
                <w:sz w:val="28"/>
                <w:szCs w:val="28"/>
                <w:bdr w:val="none" w:color="auto" w:sz="0" w:space="0"/>
                <w:lang w:val="en-US"/>
              </w:rPr>
              <w:t>许创奇</w:t>
            </w:r>
          </w:p>
        </w:tc>
      </w:tr>
      <w:tr w14:paraId="0C6C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8C74AF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869BF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C2E746A">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30</w:t>
            </w:r>
            <w:r>
              <w:rPr>
                <w:rStyle w:val="19"/>
                <w:rFonts w:hint="eastAsia" w:ascii="楷体_GB2312" w:eastAsia="楷体_GB2312" w:cs="楷体_GB2312"/>
                <w:sz w:val="28"/>
                <w:szCs w:val="28"/>
                <w:bdr w:val="none" w:color="auto" w:sz="0" w:space="0"/>
              </w:rPr>
              <w:t>（万元）</w:t>
            </w:r>
          </w:p>
        </w:tc>
      </w:tr>
      <w:tr w14:paraId="02B1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D29CD2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7CC88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2D8BB33">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财政补助（全额）</w:t>
            </w:r>
          </w:p>
        </w:tc>
      </w:tr>
      <w:tr w14:paraId="0728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F58CA5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E1C5A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4ABAD14">
            <w:pPr>
              <w:jc w:val="left"/>
            </w:pPr>
            <w:r>
              <w:rPr>
                <w:rStyle w:val="19"/>
                <w:rFonts w:hint="eastAsia" w:ascii="楷体_GB2312" w:eastAsia="楷体_GB2312" w:cs="楷体_GB2312"/>
                <w:sz w:val="28"/>
                <w:szCs w:val="28"/>
                <w:bdr w:val="none" w:color="auto" w:sz="0" w:space="0"/>
                <w:lang w:val="en-US"/>
              </w:rPr>
              <w:t>桃江县农机事务中心</w:t>
            </w:r>
          </w:p>
        </w:tc>
      </w:tr>
      <w:tr w14:paraId="5F2B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EBC89B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D8C457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E1BBF9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B6CC32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5B67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F558B6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1A8CBD8">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028AEB1">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0F78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AAAD35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51E2AEA">
            <w:pPr>
              <w:jc w:val="center"/>
              <w:rPr>
                <w:sz w:val="32"/>
                <w:szCs w:val="24"/>
                <w:bdr w:val="none" w:color="auto" w:sz="0" w:space="0"/>
                <w:lang w:val="en-US"/>
              </w:rPr>
            </w:pPr>
            <w:r>
              <w:rPr>
                <w:rStyle w:val="18"/>
                <w:sz w:val="32"/>
                <w:szCs w:val="24"/>
                <w:bdr w:val="none" w:color="auto" w:sz="0" w:space="0"/>
                <w:lang w:val="en-US"/>
              </w:rPr>
              <w:t>30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4D60BA0">
            <w:pPr>
              <w:jc w:val="center"/>
            </w:pPr>
            <w:r>
              <w:rPr>
                <w:rStyle w:val="19"/>
                <w:sz w:val="32"/>
                <w:szCs w:val="32"/>
                <w:bdr w:val="none" w:color="auto" w:sz="0" w:space="0"/>
                <w:lang w:val="en-US"/>
              </w:rPr>
              <w:t>30</w:t>
            </w:r>
          </w:p>
        </w:tc>
      </w:tr>
      <w:tr w14:paraId="710B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CDCCB42">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95A9789">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桃江县农业机械化推广服务站（桃江县农业机械化学校）</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69F28D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A2CFAF9">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22</w:t>
            </w:r>
          </w:p>
        </w:tc>
      </w:tr>
      <w:tr w14:paraId="2BAD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4A92A9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10C8E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CF439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36968D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EFFC0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D4B3A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4D0F4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072630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F3ADEA7">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按规定完成相关工作</w:t>
            </w:r>
          </w:p>
        </w:tc>
      </w:tr>
      <w:tr w14:paraId="1F5D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D4311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B67C2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941FD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1AB1B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33B98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1158A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F1B7E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B0AB2A3">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898AFF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一、调研全县水稻机械直播生产情况及试点机直播技术 3月中旬，配合省、市农机事务中心调研了全县水稻机械直播生产情况，2023年以前全县有序直播机以人力拖拽便携式水稻播种装置为主，现保有量300台以上，机械有序直播水田面积15000亩，用户一般为散户、种粮大户或家庭农场，以及少部分农机合作社，机具用户集中在山地形状较为明显的乡镇，如松木塘、马迹塘、鲊埠、武潭等乡镇。 水稻直播机具有简单实用、播后成行成蔸、增强水稻光照和通风性、方便用药施肥、少施农药及产量提高10%左右等优点。 5-9月份，由省农机事务中心产业发展部组织实施，在灰山港镇曾旺农机合作社试点了水稻“有序机直播”项目，项目任务350亩，合作社购置了相应的直播机，实际完成有序机直播水稻面积440亩，并与机插机抛人工撒播等种植模式进行了对比，产量与机插机抛基本相当。二、创新早稻机械化育秧模式。 为解决我县早稻机育秧易烂秧青枯、基质育秧成本高等不利因素，沾溪镇农夫良知农机合作社，创新淤泥上流水线作业模式，一条流水线10人，单日播种3000-4000盘。该模式在去除床土小石子、防青枯、节省育秧成本等方面有一定的积极意义。三、举办“机械化育插秧技术现场演示会”。 为进一步推进全县水稻机械化育插秧技术，减少农业面源污染，提升全县水稻生产机械化综合水平，增强农业一线人员农机安全意识，于2023年6月27日，由桃江县农机事务中心在桃花江镇邹家河渔乡源生态农庄举办了“2023年桃江县大钵体毯状苗机械化育插秧技术暨农机安全生产培训会及机具现场演示会”。 会议有省农机事务中心主任副主任、综合部部长、产业发展部部长副部长、市农业农村局副局长、市农机事务中心主任、管理科科长、监理科科长；益阳富佳科技负责人、沅江喜丰收农机服务专业合作社法人代表；苏州久富农业机械有限公司企业代表；全县各乡镇农机工作负责人、农机合作社理事长、水稻种植大户、农机操作手；农机经销商；融媒体；县农业农村局局长副局长；县农机事务中心及农业农村局相关股室工作人员；中国农大教授宋建农（育秧技术培训师）、苏州久富农业机械有限公司营业部课长韩松（机具操作培训师）等120余人与会。 会议主要培训演示内容：大钵体毯状苗育秧技术培训（中国农大宋建农教授授课）、大钵体毯状苗育插秧机具介绍（苏州久富公司营业服务部韩松）、农机安全生产与管理培训（县农机事务中心主任夏伟财）、大钵体毯状苗机插现场演示、新型农机具展示、农机安全生产展板宣传等。会后进行了用户交流及疑问解答。 本次培训采取了理论教学、现场演示和经验交流为一体，为我县带来了一种新型的机插秧技术：大钵体毯状苗育秧技术和插秧技术，对解决我县早稻机插缓苗、双季水稻茬口矛盾意义显著，也能为农户带来更好地机插秧增产体验。四、开展水稻机收减损测损活动 2023年10月17日召开了桃江县秋冬种机械化生产及水稻机收减损技术培训会，培训人员50人次，发放机收减损技术资料100余份。 </w:t>
            </w:r>
          </w:p>
          <w:p w14:paraId="10C5736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346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207DF37">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09DD53F">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182D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AB0CE1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0C45239">
            <w:pPr>
              <w:jc w:val="left"/>
            </w:pPr>
            <w:r>
              <w:rPr>
                <w:rStyle w:val="19"/>
                <w:rFonts w:hint="eastAsia" w:ascii="楷体_GB2312" w:eastAsia="楷体_GB2312" w:cs="楷体_GB2312"/>
                <w:sz w:val="28"/>
                <w:szCs w:val="28"/>
                <w:bdr w:val="none" w:color="auto" w:sz="0" w:space="0"/>
                <w:lang w:val="en-US"/>
              </w:rPr>
              <w:t>无</w:t>
            </w:r>
          </w:p>
        </w:tc>
      </w:tr>
      <w:tr w14:paraId="67DD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3D53663">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2A1A0CE">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3295A13">
            <w:pPr>
              <w:jc w:val="left"/>
            </w:pPr>
            <w:r>
              <w:rPr>
                <w:rStyle w:val="19"/>
                <w:rFonts w:hint="eastAsia" w:ascii="楷体_GB2312" w:eastAsia="楷体_GB2312" w:cs="楷体_GB2312"/>
                <w:sz w:val="28"/>
                <w:szCs w:val="28"/>
                <w:bdr w:val="none" w:color="auto" w:sz="0" w:space="0"/>
                <w:lang w:val="en-US"/>
              </w:rPr>
              <w:t>无</w:t>
            </w:r>
          </w:p>
        </w:tc>
      </w:tr>
    </w:tbl>
    <w:p w14:paraId="035223DE">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E7B5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1580</Words>
  <Characters>1664</Characters>
  <Lines>4</Lines>
  <Paragraphs>1</Paragraphs>
  <TotalTime>45456.4062500016</TotalTime>
  <ScaleCrop>false</ScaleCrop>
  <LinksUpToDate>false</LinksUpToDate>
  <CharactersWithSpaces>1714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2024-06-13T02:16:36Z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510FA976DA7F41D7A661002E0913D5EB_13</vt:lpwstr>
  </property>
</Properties>
</file>