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C7D10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91547E1">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12430922066386938U</w:t>
      </w:r>
      <w:r>
        <w:rPr>
          <w:rFonts w:eastAsia="楷体_GB2312"/>
          <w:b/>
          <w:bCs/>
          <w:sz w:val="30"/>
          <w:szCs w:val="24"/>
          <w:lang w:val="en-US"/>
        </w:rPr>
        <w:t xml:space="preserve">   </w:t>
      </w:r>
    </w:p>
    <w:p w14:paraId="5E137EA4">
      <w:pPr>
        <w:jc w:val="right"/>
        <w:rPr>
          <w:lang w:val="en-US"/>
        </w:rPr>
      </w:pPr>
    </w:p>
    <w:p w14:paraId="384B7A09">
      <w:pPr>
        <w:jc w:val="right"/>
        <w:rPr>
          <w:lang w:val="en-US"/>
        </w:rPr>
      </w:pPr>
    </w:p>
    <w:p w14:paraId="3C376CC8">
      <w:pPr>
        <w:jc w:val="right"/>
        <w:rPr>
          <w:lang w:val="en-US"/>
        </w:rPr>
      </w:pPr>
    </w:p>
    <w:p w14:paraId="02C09B17">
      <w:pPr>
        <w:jc w:val="right"/>
        <w:rPr>
          <w:lang w:val="en-US"/>
        </w:rPr>
      </w:pPr>
    </w:p>
    <w:p w14:paraId="28E07214">
      <w:pPr>
        <w:jc w:val="right"/>
        <w:rPr>
          <w:lang w:val="en-US"/>
        </w:rPr>
      </w:pPr>
    </w:p>
    <w:p w14:paraId="4C3F508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FB5EB29">
      <w:pPr>
        <w:jc w:val="center"/>
        <w:rPr>
          <w:rFonts w:eastAsia="黑体"/>
          <w:b/>
          <w:bCs/>
          <w:spacing w:val="30"/>
          <w:lang w:val="en-US"/>
        </w:rPr>
      </w:pPr>
    </w:p>
    <w:p w14:paraId="0069474B">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26A60F3">
      <w:pPr>
        <w:jc w:val="center"/>
        <w:rPr>
          <w:sz w:val="36"/>
          <w:szCs w:val="24"/>
          <w:lang w:val="en-US"/>
        </w:rPr>
      </w:pPr>
    </w:p>
    <w:p w14:paraId="3B0542A4">
      <w:pPr>
        <w:jc w:val="center"/>
        <w:rPr>
          <w:sz w:val="36"/>
          <w:szCs w:val="24"/>
          <w:lang w:val="en-US"/>
        </w:rPr>
      </w:pPr>
    </w:p>
    <w:p w14:paraId="5E8AF3CA">
      <w:pPr>
        <w:jc w:val="center"/>
        <w:rPr>
          <w:sz w:val="36"/>
          <w:szCs w:val="24"/>
          <w:lang w:val="en-US"/>
        </w:rPr>
      </w:pPr>
    </w:p>
    <w:p w14:paraId="5C3D976E">
      <w:pPr>
        <w:jc w:val="center"/>
        <w:rPr>
          <w:sz w:val="36"/>
          <w:szCs w:val="24"/>
          <w:lang w:val="en-US"/>
        </w:rPr>
      </w:pPr>
    </w:p>
    <w:p w14:paraId="2F84123D">
      <w:pPr>
        <w:jc w:val="center"/>
        <w:rPr>
          <w:sz w:val="36"/>
          <w:szCs w:val="24"/>
          <w:lang w:val="en-US"/>
        </w:rPr>
      </w:pPr>
    </w:p>
    <w:p w14:paraId="593FD44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89C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F2D2EDB">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FEEF752">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桃江县农业资源与环境保护管理站</w:t>
            </w:r>
          </w:p>
        </w:tc>
      </w:tr>
    </w:tbl>
    <w:p w14:paraId="06DE2D5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1E2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6F756DE">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173C643">
            <w:pPr>
              <w:keepNext w:val="0"/>
              <w:keepLines w:val="0"/>
              <w:widowControl/>
              <w:suppressLineNumbers w:val="0"/>
              <w:jc w:val="left"/>
              <w:rPr>
                <w:kern w:val="0"/>
                <w:sz w:val="20"/>
                <w:szCs w:val="20"/>
                <w:bdr w:val="none" w:color="auto" w:sz="0" w:space="0"/>
                <w:lang w:val="en-US"/>
              </w:rPr>
            </w:pPr>
          </w:p>
        </w:tc>
      </w:tr>
    </w:tbl>
    <w:p w14:paraId="67D17B39">
      <w:pPr>
        <w:ind w:left="0" w:firstLine="723" w:firstLineChars="300"/>
        <w:rPr>
          <w:rFonts w:hint="eastAsia" w:ascii="黑体" w:hAnsi="宋体" w:eastAsia="黑体" w:cs="黑体"/>
          <w:b/>
          <w:bCs/>
          <w:sz w:val="24"/>
          <w:szCs w:val="24"/>
          <w:u w:val="single"/>
          <w:lang w:val="en-US"/>
        </w:rPr>
      </w:pPr>
    </w:p>
    <w:p w14:paraId="1F9678FD">
      <w:pPr>
        <w:jc w:val="center"/>
        <w:rPr>
          <w:rFonts w:hint="eastAsia" w:ascii="黑体" w:hAnsi="宋体" w:eastAsia="黑体" w:cs="黑体"/>
          <w:b/>
          <w:bCs/>
          <w:sz w:val="30"/>
          <w:szCs w:val="24"/>
          <w:u w:val="single"/>
          <w:lang w:val="en-US"/>
        </w:rPr>
      </w:pPr>
    </w:p>
    <w:p w14:paraId="6F1C0F4A">
      <w:pPr>
        <w:jc w:val="center"/>
        <w:rPr>
          <w:rFonts w:hint="eastAsia" w:ascii="黑体" w:hAnsi="宋体" w:eastAsia="黑体" w:cs="黑体"/>
          <w:b/>
          <w:bCs/>
          <w:sz w:val="30"/>
          <w:szCs w:val="24"/>
          <w:u w:val="single"/>
          <w:lang w:val="en-US"/>
        </w:rPr>
      </w:pPr>
    </w:p>
    <w:p w14:paraId="6EF2769A">
      <w:pPr>
        <w:jc w:val="center"/>
        <w:rPr>
          <w:u w:val="single"/>
          <w:lang w:val="en-US"/>
        </w:rPr>
      </w:pPr>
    </w:p>
    <w:p w14:paraId="35066F5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FD4A28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418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0D50B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85D8C4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704A4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9BC1C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0066F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E6660F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92530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4082AA8">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桃江县农业资源与环境保护管理站</w:t>
            </w:r>
          </w:p>
        </w:tc>
      </w:tr>
      <w:tr w14:paraId="14A6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F40B39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A0E78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45241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CD17C28">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全县农业环境保护具体监督管理，组织开展全县农业面源污染和农业废弃物综合利用；负责全县农业野生植物资源保护和监督开发利用；指导和协调解决全县重大农业环境问题，参与查处重大农业环境污染事故和农业生态破坏事件；负责全县无公害农产品、绿色食品等的产地环境认定和产品认证，基地建设及无公害农产品、绿色食品标志的监督检查；负责全县农业资源与环境质量统计、信息工作；组织开展全县农业资源与环境保护知识宣传普及、先进技术推广工作。</w:t>
            </w:r>
          </w:p>
        </w:tc>
      </w:tr>
      <w:tr w14:paraId="1645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CB834F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6F6E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DA0863F">
            <w:pPr>
              <w:jc w:val="left"/>
            </w:pPr>
            <w:r>
              <w:rPr>
                <w:rStyle w:val="20"/>
                <w:rFonts w:hint="eastAsia" w:ascii="楷体_GB2312" w:eastAsia="楷体_GB2312" w:cs="楷体_GB2312"/>
                <w:sz w:val="28"/>
                <w:szCs w:val="28"/>
                <w:bdr w:val="none" w:color="auto" w:sz="0" w:space="0"/>
                <w:lang w:val="en-US"/>
              </w:rPr>
              <w:t>桃江县桃花江镇桃花东路</w:t>
            </w:r>
          </w:p>
        </w:tc>
      </w:tr>
      <w:tr w14:paraId="52C3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3415E6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C613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978BFB8">
            <w:pPr>
              <w:jc w:val="left"/>
            </w:pPr>
            <w:r>
              <w:rPr>
                <w:rStyle w:val="20"/>
                <w:rFonts w:hint="eastAsia" w:ascii="楷体_GB2312" w:eastAsia="楷体_GB2312" w:cs="楷体_GB2312"/>
                <w:sz w:val="28"/>
                <w:szCs w:val="28"/>
                <w:bdr w:val="none" w:color="auto" w:sz="0" w:space="0"/>
                <w:lang w:val="en-US"/>
              </w:rPr>
              <w:t>刘迪周</w:t>
            </w:r>
          </w:p>
        </w:tc>
      </w:tr>
      <w:tr w14:paraId="0081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CEF32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B4269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F299641">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1565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4075F8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CD450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D753803">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财政补助（财政补助(全额)）</w:t>
            </w:r>
          </w:p>
        </w:tc>
      </w:tr>
      <w:tr w14:paraId="37B6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83AA0E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9E60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171EEB7">
            <w:pPr>
              <w:jc w:val="left"/>
            </w:pPr>
            <w:r>
              <w:rPr>
                <w:rStyle w:val="20"/>
                <w:rFonts w:hint="eastAsia" w:ascii="楷体_GB2312" w:eastAsia="楷体_GB2312" w:cs="楷体_GB2312"/>
                <w:sz w:val="28"/>
                <w:szCs w:val="28"/>
                <w:bdr w:val="none" w:color="auto" w:sz="0" w:space="0"/>
                <w:lang w:val="en-US"/>
              </w:rPr>
              <w:t>桃江县农业农村局</w:t>
            </w:r>
          </w:p>
        </w:tc>
      </w:tr>
      <w:tr w14:paraId="6672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64FD9B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801D4F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0483EE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2DFA2C1">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0D7A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12D8E7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D0B8A32">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7180FE3">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4779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E0B401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E8C178A">
            <w:pPr>
              <w:jc w:val="center"/>
              <w:rPr>
                <w:sz w:val="32"/>
                <w:szCs w:val="24"/>
                <w:bdr w:val="none" w:color="auto" w:sz="0" w:space="0"/>
                <w:lang w:val="en-US"/>
              </w:rPr>
            </w:pPr>
            <w:r>
              <w:rPr>
                <w:rStyle w:val="19"/>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0BD5902">
            <w:pPr>
              <w:jc w:val="center"/>
            </w:pPr>
            <w:r>
              <w:rPr>
                <w:rStyle w:val="20"/>
                <w:sz w:val="32"/>
                <w:szCs w:val="32"/>
                <w:bdr w:val="none" w:color="auto" w:sz="0" w:space="0"/>
                <w:lang w:val="en-US"/>
              </w:rPr>
              <w:t>1</w:t>
            </w:r>
          </w:p>
        </w:tc>
      </w:tr>
      <w:tr w14:paraId="1906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F4C3467">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1504513">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桃江县农业资源与环境保护管理站.公益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572D368">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BAC767B">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9</w:t>
            </w:r>
          </w:p>
        </w:tc>
      </w:tr>
      <w:tr w14:paraId="0416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D55B7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BA4F2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24425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99C1C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373F7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F301F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6C656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E8888D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89FBDF8">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严格按照条例和细则执行，本年度无并更登记项目。</w:t>
            </w:r>
          </w:p>
        </w:tc>
      </w:tr>
      <w:tr w14:paraId="3A71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552CA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5BC56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84FD9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5F5D9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FC2634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7D0EE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A6451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571930A0">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74A954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工作成效及措施 （一）受污染耕地安全利用工作。 1.推进了严管区的风险管控。 2.严管区种植结构调整为棉花、牧草、养殖鱼虾贝蟹500亩。 3. 安全利用区已经推广低吸镉品种10万亩、撒施生石灰4.19万亩、水分调控1万亩、早稻喷洒叶面阻控剂5万亩、原位钝化（土壤调理）0.17万亩、微生物修复0.02万亩、科学施肥0.1万亩、稻田综合种养0.15万亩、种植结构调整2.29万亩，合计完成22.92万亩，完成了全年任务的100%。 4.开展了严格管控区特定农产品划定试点工作。 5.举办地膜污染防治和受污染耕地安全利用技术现场会，带动全省地膜污染防治的推广和应用。 （二）稳步推进秸秆综合利用工作。进一步加大示范和政策引导力度，大力开展秸秆还田和秸秆“五化”利用（肥料化、饲料化、燃料化、基料化、原料化）。 （三）继续做好沼气安全生产和监管。组织各乡镇对全县各户沼气进行了安全隐患排查，对县域内大中型沼气进行了2轮安全生产检查，并签订了安全责任状，在沾溪镇九螺坊村成功举办桃江县农村户用沼气安全处置现场示范会。 （四）做好了外来入侵物种防控工作。采购了2万元的灭螺胺用于全县双季稻万亩示范片的福寿螺防治示范，并进行了福寿螺的危害及防控技术措施宣传。 （五）按季度完成农业农村局负责的河长制巡河工作和资料报送。 （六）完成了每月省级水样监测点的采样和送检工作。 （七）完成省市县交办的其他任务和上报数据报表等。 </w:t>
            </w:r>
          </w:p>
          <w:p w14:paraId="1B4D7B5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33C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A13A716">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C635F3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7BD4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1D903B9">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D22B527">
            <w:pPr>
              <w:jc w:val="left"/>
            </w:pPr>
            <w:r>
              <w:rPr>
                <w:rStyle w:val="20"/>
                <w:rFonts w:hint="eastAsia" w:ascii="楷体_GB2312" w:eastAsia="楷体_GB2312" w:cs="楷体_GB2312"/>
                <w:sz w:val="28"/>
                <w:szCs w:val="28"/>
                <w:bdr w:val="none" w:color="auto" w:sz="0" w:space="0"/>
                <w:lang w:val="en-US"/>
              </w:rPr>
              <w:t>无</w:t>
            </w:r>
          </w:p>
        </w:tc>
      </w:tr>
      <w:tr w14:paraId="1BA4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13A82CA">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0AF1A77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CA26E68">
            <w:pPr>
              <w:jc w:val="left"/>
            </w:pPr>
            <w:r>
              <w:rPr>
                <w:rStyle w:val="20"/>
                <w:rFonts w:hint="eastAsia" w:ascii="楷体_GB2312" w:eastAsia="楷体_GB2312" w:cs="楷体_GB2312"/>
                <w:sz w:val="28"/>
                <w:szCs w:val="28"/>
                <w:bdr w:val="none" w:color="auto" w:sz="0" w:space="0"/>
                <w:lang w:val="en-US"/>
              </w:rPr>
              <w:t>无</w:t>
            </w:r>
          </w:p>
        </w:tc>
      </w:tr>
    </w:tbl>
    <w:p w14:paraId="1D4D84BD">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4C65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1115</Words>
  <Characters>1182</Characters>
  <Lines>4</Lines>
  <Paragraphs>1</Paragraphs>
  <TotalTime>45456.4375000016</TotalTime>
  <ScaleCrop>false</ScaleCrop>
  <LinksUpToDate>false</LinksUpToDate>
  <CharactersWithSpaces>1231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2024-06-13T02:31:27Z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F97BE2CB45804597A0A098B6E1FECD68_13</vt:lpwstr>
  </property>
</Properties>
</file>