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A3EAAAC">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4187CD53">
      <w:pPr>
        <w:wordWrap w:val="0"/>
        <w:jc w:val="right"/>
        <w:rPr>
          <w:rFonts w:eastAsia="楷体_GB2312"/>
          <w:b/>
          <w:bCs/>
          <w:sz w:val="30"/>
          <w:szCs w:val="24"/>
          <w:lang w:val="en-US"/>
        </w:rPr>
      </w:pPr>
      <w:r>
        <w:rPr>
          <w:rFonts w:eastAsia="楷体_GB2312"/>
          <w:b/>
          <w:bCs/>
          <w:sz w:val="30"/>
          <w:szCs w:val="24"/>
          <w:lang w:val="en-US"/>
        </w:rPr>
        <w:t xml:space="preserve">   </w:t>
      </w:r>
      <w:r>
        <w:rPr>
          <w:rStyle w:val="17"/>
          <w:b/>
          <w:bCs/>
          <w:sz w:val="30"/>
          <w:szCs w:val="30"/>
          <w:lang w:val="en-US"/>
        </w:rPr>
        <w:t>124309224470195252</w:t>
      </w:r>
      <w:r>
        <w:rPr>
          <w:rFonts w:eastAsia="楷体_GB2312"/>
          <w:b/>
          <w:bCs/>
          <w:sz w:val="30"/>
          <w:szCs w:val="24"/>
          <w:lang w:val="en-US"/>
        </w:rPr>
        <w:t xml:space="preserve">   </w:t>
      </w:r>
    </w:p>
    <w:p w14:paraId="1194F96F">
      <w:pPr>
        <w:jc w:val="right"/>
        <w:rPr>
          <w:lang w:val="en-US"/>
        </w:rPr>
      </w:pPr>
    </w:p>
    <w:p w14:paraId="66E34FB4">
      <w:pPr>
        <w:jc w:val="right"/>
        <w:rPr>
          <w:lang w:val="en-US"/>
        </w:rPr>
      </w:pPr>
    </w:p>
    <w:p w14:paraId="7841D1F8">
      <w:pPr>
        <w:jc w:val="right"/>
        <w:rPr>
          <w:lang w:val="en-US"/>
        </w:rPr>
      </w:pPr>
    </w:p>
    <w:p w14:paraId="6CBBD15E">
      <w:pPr>
        <w:jc w:val="right"/>
        <w:rPr>
          <w:lang w:val="en-US"/>
        </w:rPr>
      </w:pPr>
    </w:p>
    <w:p w14:paraId="2E0603B4">
      <w:pPr>
        <w:jc w:val="right"/>
        <w:rPr>
          <w:lang w:val="en-US"/>
        </w:rPr>
      </w:pPr>
    </w:p>
    <w:p w14:paraId="28DFD516">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63EA5B57">
      <w:pPr>
        <w:jc w:val="center"/>
        <w:rPr>
          <w:rFonts w:eastAsia="黑体"/>
          <w:b/>
          <w:bCs/>
          <w:spacing w:val="30"/>
          <w:lang w:val="en-US"/>
        </w:rPr>
      </w:pPr>
    </w:p>
    <w:p w14:paraId="6763706B">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7"/>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00CD06DD">
      <w:pPr>
        <w:jc w:val="center"/>
        <w:rPr>
          <w:sz w:val="36"/>
          <w:szCs w:val="24"/>
          <w:lang w:val="en-US"/>
        </w:rPr>
      </w:pPr>
    </w:p>
    <w:p w14:paraId="489E414E">
      <w:pPr>
        <w:jc w:val="center"/>
        <w:rPr>
          <w:sz w:val="36"/>
          <w:szCs w:val="24"/>
          <w:lang w:val="en-US"/>
        </w:rPr>
      </w:pPr>
    </w:p>
    <w:p w14:paraId="577EC34D">
      <w:pPr>
        <w:jc w:val="center"/>
        <w:rPr>
          <w:sz w:val="36"/>
          <w:szCs w:val="24"/>
          <w:lang w:val="en-US"/>
        </w:rPr>
      </w:pPr>
    </w:p>
    <w:p w14:paraId="755EB04D">
      <w:pPr>
        <w:jc w:val="center"/>
        <w:rPr>
          <w:sz w:val="36"/>
          <w:szCs w:val="24"/>
          <w:lang w:val="en-US"/>
        </w:rPr>
      </w:pPr>
    </w:p>
    <w:p w14:paraId="5619EFC6">
      <w:pPr>
        <w:jc w:val="center"/>
        <w:rPr>
          <w:sz w:val="36"/>
          <w:szCs w:val="24"/>
          <w:lang w:val="en-US"/>
        </w:rPr>
      </w:pPr>
    </w:p>
    <w:p w14:paraId="3C00F45D">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19689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62352B32">
            <w:pPr>
              <w:jc w:val="distribute"/>
            </w:pPr>
            <w:r>
              <w:rPr>
                <w:rStyle w:val="18"/>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04D6AE4A">
            <w:pPr>
              <w:jc w:val="center"/>
              <w:rPr>
                <w:rFonts w:hint="eastAsia" w:ascii="楷体_GB2312" w:eastAsia="楷体_GB2312" w:cs="楷体_GB2312"/>
                <w:sz w:val="32"/>
                <w:szCs w:val="24"/>
                <w:bdr w:val="none" w:color="auto" w:sz="0" w:space="0"/>
                <w:lang w:val="en-US"/>
              </w:rPr>
            </w:pPr>
            <w:r>
              <w:rPr>
                <w:rStyle w:val="19"/>
                <w:rFonts w:hint="eastAsia" w:ascii="楷体_GB2312" w:eastAsia="楷体_GB2312" w:cs="楷体_GB2312"/>
                <w:sz w:val="32"/>
                <w:szCs w:val="24"/>
                <w:bdr w:val="none" w:color="auto" w:sz="0" w:space="0"/>
                <w:lang w:val="en-US"/>
              </w:rPr>
              <w:t>桃江县三堂街镇中心学校</w:t>
            </w:r>
          </w:p>
        </w:tc>
      </w:tr>
    </w:tbl>
    <w:p w14:paraId="71E8D40B">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09B02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6B86A9B7">
            <w:pPr>
              <w:jc w:val="distribute"/>
            </w:pPr>
            <w:r>
              <w:rPr>
                <w:rStyle w:val="18"/>
                <w:b/>
                <w:bCs/>
                <w:sz w:val="36"/>
                <w:szCs w:val="24"/>
                <w:bdr w:val="none" w:color="auto" w:sz="0" w:space="0"/>
              </w:rPr>
              <w:t>法</w:t>
            </w:r>
            <w:r>
              <w:rPr>
                <w:rStyle w:val="18"/>
                <w:b/>
                <w:bCs/>
                <w:spacing w:val="30"/>
                <w:sz w:val="36"/>
                <w:szCs w:val="24"/>
                <w:bdr w:val="none" w:color="auto" w:sz="0" w:space="0"/>
              </w:rPr>
              <w:t>定代表</w:t>
            </w:r>
            <w:r>
              <w:rPr>
                <w:rStyle w:val="18"/>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62EE2995">
            <w:pPr>
              <w:keepNext w:val="0"/>
              <w:keepLines w:val="0"/>
              <w:widowControl/>
              <w:suppressLineNumbers w:val="0"/>
              <w:jc w:val="left"/>
              <w:rPr>
                <w:kern w:val="0"/>
                <w:sz w:val="20"/>
                <w:szCs w:val="20"/>
                <w:bdr w:val="none" w:color="auto" w:sz="0" w:space="0"/>
                <w:lang w:val="en-US"/>
              </w:rPr>
            </w:pPr>
          </w:p>
        </w:tc>
      </w:tr>
    </w:tbl>
    <w:p w14:paraId="060242B3">
      <w:pPr>
        <w:ind w:left="0" w:firstLine="723" w:firstLineChars="300"/>
        <w:rPr>
          <w:rFonts w:hint="eastAsia" w:ascii="黑体" w:hAnsi="宋体" w:eastAsia="黑体" w:cs="黑体"/>
          <w:b/>
          <w:bCs/>
          <w:sz w:val="24"/>
          <w:szCs w:val="24"/>
          <w:u w:val="single"/>
          <w:lang w:val="en-US"/>
        </w:rPr>
      </w:pPr>
    </w:p>
    <w:p w14:paraId="37F0BC33">
      <w:pPr>
        <w:jc w:val="center"/>
        <w:rPr>
          <w:rFonts w:hint="eastAsia" w:ascii="黑体" w:hAnsi="宋体" w:eastAsia="黑体" w:cs="黑体"/>
          <w:b/>
          <w:bCs/>
          <w:sz w:val="30"/>
          <w:szCs w:val="24"/>
          <w:u w:val="single"/>
          <w:lang w:val="en-US"/>
        </w:rPr>
      </w:pPr>
    </w:p>
    <w:p w14:paraId="5045EC10">
      <w:pPr>
        <w:jc w:val="center"/>
        <w:rPr>
          <w:rFonts w:hint="eastAsia" w:ascii="黑体" w:hAnsi="宋体" w:eastAsia="黑体" w:cs="黑体"/>
          <w:b/>
          <w:bCs/>
          <w:sz w:val="30"/>
          <w:szCs w:val="24"/>
          <w:u w:val="single"/>
          <w:lang w:val="en-US"/>
        </w:rPr>
      </w:pPr>
    </w:p>
    <w:p w14:paraId="572823FB">
      <w:pPr>
        <w:jc w:val="center"/>
        <w:rPr>
          <w:u w:val="single"/>
          <w:lang w:val="en-US"/>
        </w:rPr>
      </w:pPr>
    </w:p>
    <w:p w14:paraId="0E9634B9">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1D324561">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2BCC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5E14445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2756A71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3016E04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399AAA0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7CEB0F6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1FEDEFBC">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0B3594B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2C00841F">
            <w:pPr>
              <w:spacing w:line="320" w:lineRule="exact"/>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桃江县三堂街镇中心学校</w:t>
            </w:r>
          </w:p>
        </w:tc>
      </w:tr>
      <w:tr w14:paraId="11E78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2CC3E5C">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319C56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17A2B2D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2816AFA">
            <w:pPr>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实施义务教育，促进基础教育发展。 幼儿教育 小学和初中学历教育 相关社会服务</w:t>
            </w:r>
          </w:p>
        </w:tc>
      </w:tr>
      <w:tr w14:paraId="5D21D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5FAED18">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8DF5A6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7ACD86C">
            <w:pPr>
              <w:jc w:val="left"/>
            </w:pPr>
            <w:r>
              <w:rPr>
                <w:rStyle w:val="14"/>
                <w:rFonts w:hint="eastAsia" w:ascii="楷体_GB2312" w:eastAsia="楷体_GB2312" w:cs="楷体_GB2312"/>
                <w:sz w:val="28"/>
                <w:szCs w:val="28"/>
                <w:bdr w:val="none" w:color="auto" w:sz="0" w:space="0"/>
                <w:lang w:val="en-US"/>
              </w:rPr>
              <w:t>桃江县三堂街镇三堂街村</w:t>
            </w:r>
          </w:p>
        </w:tc>
      </w:tr>
      <w:tr w14:paraId="60FE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F6A3FCC">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EB683E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E7EB0DB">
            <w:pPr>
              <w:jc w:val="left"/>
            </w:pPr>
            <w:r>
              <w:rPr>
                <w:rStyle w:val="14"/>
                <w:rFonts w:hint="eastAsia" w:ascii="楷体_GB2312" w:eastAsia="楷体_GB2312" w:cs="楷体_GB2312"/>
                <w:sz w:val="28"/>
                <w:szCs w:val="28"/>
                <w:bdr w:val="none" w:color="auto" w:sz="0" w:space="0"/>
                <w:lang w:val="en-US"/>
              </w:rPr>
              <w:t>刘锦前</w:t>
            </w:r>
          </w:p>
        </w:tc>
      </w:tr>
      <w:tr w14:paraId="0B0F6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BBAD22D">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BA0D4E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AA4D765">
            <w:pPr>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6237</w:t>
            </w:r>
            <w:r>
              <w:rPr>
                <w:rStyle w:val="14"/>
                <w:rFonts w:hint="eastAsia" w:ascii="楷体_GB2312" w:eastAsia="楷体_GB2312" w:cs="楷体_GB2312"/>
                <w:sz w:val="28"/>
                <w:szCs w:val="28"/>
                <w:bdr w:val="none" w:color="auto" w:sz="0" w:space="0"/>
              </w:rPr>
              <w:t>（万元）</w:t>
            </w:r>
          </w:p>
        </w:tc>
      </w:tr>
      <w:tr w14:paraId="29B04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D87E92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4FBD75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5F1973B1">
            <w:pPr>
              <w:jc w:val="left"/>
              <w:rPr>
                <w:sz w:val="32"/>
                <w:szCs w:val="32"/>
                <w:bdr w:val="none" w:color="auto" w:sz="0" w:space="0"/>
                <w:lang w:val="en-US"/>
              </w:rPr>
            </w:pPr>
            <w:r>
              <w:rPr>
                <w:rStyle w:val="14"/>
                <w:rFonts w:hint="eastAsia" w:ascii="楷体_GB2312" w:eastAsia="楷体_GB2312" w:cs="楷体_GB2312"/>
                <w:sz w:val="28"/>
                <w:szCs w:val="28"/>
                <w:bdr w:val="none" w:color="auto" w:sz="0" w:space="0"/>
                <w:lang w:val="en-US"/>
              </w:rPr>
              <w:t>财政补助（全额拨款）</w:t>
            </w:r>
          </w:p>
        </w:tc>
      </w:tr>
      <w:tr w14:paraId="6C62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0E303A1">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4B076E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3450E20B">
            <w:pPr>
              <w:jc w:val="left"/>
            </w:pPr>
            <w:r>
              <w:rPr>
                <w:rStyle w:val="14"/>
                <w:rFonts w:hint="eastAsia" w:ascii="楷体_GB2312" w:eastAsia="楷体_GB2312" w:cs="楷体_GB2312"/>
                <w:sz w:val="28"/>
                <w:szCs w:val="28"/>
                <w:bdr w:val="none" w:color="auto" w:sz="0" w:space="0"/>
                <w:lang w:val="en-US"/>
              </w:rPr>
              <w:t>桃江县教育局</w:t>
            </w:r>
          </w:p>
        </w:tc>
      </w:tr>
      <w:tr w14:paraId="6136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325938AF">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69CD8406">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1A4DB88E">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478FE0C0">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净资产合计（所有者权益合计）</w:t>
            </w:r>
          </w:p>
        </w:tc>
      </w:tr>
      <w:tr w14:paraId="4B12C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24C3268A">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66624068">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35B3C0AD">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年末数（万元）</w:t>
            </w:r>
          </w:p>
        </w:tc>
      </w:tr>
      <w:tr w14:paraId="3C8CA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609E2825">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53A26720">
            <w:pPr>
              <w:jc w:val="center"/>
              <w:rPr>
                <w:sz w:val="32"/>
                <w:szCs w:val="24"/>
                <w:bdr w:val="none" w:color="auto" w:sz="0" w:space="0"/>
                <w:lang w:val="en-US"/>
              </w:rPr>
            </w:pPr>
            <w:r>
              <w:rPr>
                <w:rStyle w:val="19"/>
                <w:sz w:val="32"/>
                <w:szCs w:val="24"/>
                <w:bdr w:val="none" w:color="auto" w:sz="0" w:space="0"/>
                <w:lang w:val="en-US"/>
              </w:rPr>
              <w:t>6473.6</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6E6F1393">
            <w:pPr>
              <w:jc w:val="center"/>
            </w:pPr>
            <w:r>
              <w:rPr>
                <w:rStyle w:val="14"/>
                <w:sz w:val="32"/>
                <w:szCs w:val="32"/>
                <w:bdr w:val="none" w:color="auto" w:sz="0" w:space="0"/>
                <w:lang w:val="en-US"/>
              </w:rPr>
              <w:t>6444.5</w:t>
            </w:r>
          </w:p>
        </w:tc>
      </w:tr>
      <w:tr w14:paraId="21B43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26130649">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573967BF">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桃江县三堂街镇中心学校.公益</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11870D07">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62E19660">
            <w:pPr>
              <w:spacing w:line="0" w:lineRule="atLeast"/>
              <w:jc w:val="left"/>
              <w:rPr>
                <w:rFonts w:hint="eastAsia" w:ascii="楷体_GB2312" w:eastAsia="楷体_GB2312" w:cs="楷体_GB2312"/>
                <w:sz w:val="32"/>
                <w:szCs w:val="24"/>
                <w:bdr w:val="none" w:color="auto" w:sz="0" w:space="0"/>
                <w:lang w:val="en-US"/>
              </w:rPr>
            </w:pPr>
            <w:r>
              <w:rPr>
                <w:rStyle w:val="19"/>
                <w:sz w:val="32"/>
                <w:szCs w:val="24"/>
                <w:bdr w:val="none" w:color="auto" w:sz="0" w:space="0"/>
                <w:lang w:val="en-US"/>
              </w:rPr>
              <w:t>259</w:t>
            </w:r>
          </w:p>
        </w:tc>
      </w:tr>
      <w:tr w14:paraId="61132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546E1F9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016F45D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78A9A37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7F0BE6A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0CA3931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3F77BCF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1DA8207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4C4BB00D">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270D9554">
            <w:pPr>
              <w:spacing w:line="320" w:lineRule="exac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1、遵守国家法律规范和有关政策；2、全面执行人事部门机构编制，人员流动由上级主管部门审批通过；3、实际使用的名称与核准的名称一致；4严格按照核准登记的宗旨和业务范围开展活动，宗旨和业务范围涉及行政许可证事项有法律、法规等相关依据。</w:t>
            </w:r>
          </w:p>
        </w:tc>
      </w:tr>
      <w:tr w14:paraId="5EB2A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6864D91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66D24B8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034FC78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2CFB800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2019F05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06CFD33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7690341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44B33623">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6C05A7E4">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4"/>
                <w:rFonts w:hint="eastAsia" w:ascii="楷体_GB2312" w:eastAsia="楷体_GB2312" w:cs="楷体_GB2312"/>
                <w:sz w:val="28"/>
                <w:szCs w:val="24"/>
                <w:bdr w:val="none" w:color="auto" w:sz="0" w:space="0"/>
                <w:lang w:val="en-US"/>
              </w:rPr>
              <w:t xml:space="preserve">（一）坚持以立德树人为重点，切实推进素质教育。1、全面贯彻党的教育方针，促进学生德智体美全面发展。倡导和树立正确的教育观，认真总结我镇实施素质教育工作经验，提出推进素质教育的思路和措施。努力探索新时期家长学校发展新路，完善家庭教育网络体系，努力形成素质教育的合力。2、切实加强未成年人思想道德建设。一是要认真组织星级学生评价。各学校要认真组织教师做好评价工作，评价实施工作一定要规范操作程序，将评价的内容方法、程序及时向学生、家长及社会作好宣传。二是要充分挖掘课程德育资源。任课教师要在备课投课过程中全面渗透德有内容，尤其是思想品德课程，要把对学生进行思想道德教育看作首要功能。三是要充分利用班团活动作为德有阵地。班会活动、团队活动要以德有为主题，做到内容丰富，形式多样，效果显著。四是要走向社区、走向农村。通过丰富多彩的社会实践活动让青少年学生感受教育。3、加强学校体育卫生和艺术工作。贯彻落实《加强青少年体育，增强青少年体质的意见》和《学校体育工作条例》，全面实施国家学生体质健康标准。深入开展学生阳光体育运动、体育艺术“2+1”活动和体育比赛活动，上好体育课，确保学生“每天锻炼一小时”。贯彻落实《学校卫生工作条例》，做好学校食品卫生安全和传染病防治工作，抓好学校健康教育。开展学生艺术展演、“三独”、科技创新比赛，促进学生全面发展、健康成长。4、抓实师训工作。一是进一步深化校本研修，积极倡导同课异构、同伴互助、写教学随想、开展微型课题研究等多种形式的校本研修活动。二是优化课堂教学。从理念上优化课堂，在课堂教学中体现学生的主体地位，实施自主、合作、探究的学习方式，重学生情感态度与价值观的培养。从手段上优化课堂，不断提高教师运用现代教育手段的技能，上出直观、形象、生动有趣的好课。构建和谐的师生关系，调动学生的学习兴趣。继续开展“人人上好课”活动。三是按发展中心要求，搞好各级各类培训。5、突出过程管理，认真开展教学指导与督查。一是中心校对各学校继续实施“四个一”督查和指导，即每期进行一次教学常规工作检查，每期组织一次教学工作评价，每期组织一次教师研讨会，每期组织一次学生问卷调查活动。各学校对教师继续开展“五个一”工作落实，即每月一次教学检查，每月一次教研活动，每两月一次教师座谈会，每两月一次学生问卷调查，每学期一次业务考核。二是全面落实《桃江县中小学教学法常规管理条例》，重点抓好备、讲、批、辅、考、评各环节的过程管理，切实提高各个环节的质量。三是全面落实教师业务考核制度，建立教师业务考核档案。落实考核结论与教师评优评先，晋级晋升直接挂钩的目标。四是教育行政人员要深入教学法一线，及时了解教学信息。要求校长每期听课不少于20节，教导主任不少于30节，每位教师听课不少于15节。五是推进教学手段的现代化，各学校充分利用配置的现代化教学设备，把利用现代化教学手段的技能作为考核教师的标准之一。6、抓中考质量的提高，确保保学率、合格率、优分率、毕业率居全县前列。一是四所初中要把抓中考质量作为中心工作来抓，制订计划，明确目标，强化措施。二是中心学校在4月份组织开展毕业班工作的研讨。三是中心学校对初中毕业会考进行全面总结，表彰和奖励成绩突出的学校和有贡献的教师。7、充分发挥团、队组织在学校工作中的作用，以抓实团队常规建设为基础，以自主管理、自我发展为目标，努力营造健康、向上、和谐的班级文化、学校文化。努力形成班级特色，学校特色，让学生在活动、体验、感悟中提高综合素质。 （二）创新工作机制，打造强有力的教职工队伍1、切实加强学校班子建设。一是中心学校对各全镇各中小学校的领导班子及班子成员进行绩效考核。二是进一步完善校长和学校行政人员负责制和问责制，实行责任追究。三是各学校班子成员深入教学第一线，站在课程改革的前沿。2、深入推进师德师风建设。在全镇教育系统开展“树师德、正行风”作风建设活动，在全体党员和教育行政干部中深入开展党的群众路线教育实践活动。深入学习《中小学教师职业道德规范》和《桃江县中小学教师从教行为“十不准”》，加强师德教育。进一步完善师德考评与激励机制，引导与鼓励广大教师加强师德修养，争当学生的良师益友，赢得社会的认可与敬重。组织开展“名班主任”、“名教师”、“名校长”的评选活动，促进教师政治、业务素质的提高。3、认真组织教师的政治学习和业务学习。以树立服务意识为突破口，转变教育理念，抓实校本培训，落实学校“五个一”、教师“六个一”的具体措施，定期组织教师开展政治、业务学习，提高教师的政治业务素质，发挥骨干教师的传帮带作用，促进全镇教师水平的整体提高：加大教师全员培训力度，完成“国培、省培”计划，加强“双师型”教师队伍建设。4、稳步推进教育人事制度改革。一是进一步完善教师聘任制和考核考评机制，强化教师岗位管理和考核，深化学校分配制度改革，建立重教育教学能力和实绩的激励机制，全面推行绩效工资制。二是继续组织做好初中学校教师的分流工作。三是组织教师参加上级主管部门开展的专业知识培训与考试。四是制订方案，鼓励优秀教师到薄弱学校支教，开展镇域内“校对校任职交流”。 （三）创建和谐校园，营造安全文明的育人环境1、完善并落实安全管理责任制。层层建立安全责任制，实行校长负责制、责任追究制和一票否决制。定期排查整改安全隐患，主动调处不稳定因素，建立各项安全突发事件应急预案，加强对师生的法制教育、安全教育、健康教育，不断增强师生的法制观念和维护学校安全稳定的自觉性，杜绝不安全事故和师生犯罪现象的发生。 2、注重加强校园文化建设。充分发挥现有资源优势，美化、绿化校园，重视人文环境建设，发挥校园广播、橱窗等功能，营造文明健康、积极向上的育人氛围。积极加强校风、教风和学风建设，提高师生的文明素质。3、加强学校周边环境治理和学生接送车辆的管理，对扰乱和影响正常教学的人和事加大打击力度。4、积极构建和谐的学校人际关系。大力倡导师生平等观念，建立“零体罚”制度。建立和谐的学生关系，使学生团结友好、共同成长；营造和谐的教师关系，培养团队精神，营造人和氛围，为学生树立和谐相处的示范；构建和谐的干群关系，学校领导要尊重教师，理解教师，体现人文关怀，倡导民主管理；加强学校与家长的沟通，建立和谐的家校关系，形成和谐的外部环境；建立和谐的校际关系，强化整体意识，竞争讲风格，合作促共赢，推动教育和谐发展。 </w:t>
            </w:r>
          </w:p>
          <w:p w14:paraId="1E59D33E">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3EB3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361D4CBB">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3FBEED15">
            <w:pPr>
              <w:spacing w:line="320" w:lineRule="exac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4"/>
                <w:bdr w:val="none" w:color="auto" w:sz="0" w:space="0"/>
                <w:lang w:val="en-US"/>
              </w:rPr>
              <w:t>无</w:t>
            </w:r>
          </w:p>
        </w:tc>
      </w:tr>
      <w:tr w14:paraId="6BD88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0BC82E16">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3094B955">
            <w:pPr>
              <w:jc w:val="left"/>
            </w:pPr>
            <w:r>
              <w:rPr>
                <w:rStyle w:val="14"/>
                <w:rFonts w:hint="eastAsia" w:ascii="楷体_GB2312" w:eastAsia="楷体_GB2312" w:cs="楷体_GB2312"/>
                <w:sz w:val="28"/>
                <w:szCs w:val="28"/>
                <w:bdr w:val="none" w:color="auto" w:sz="0" w:space="0"/>
                <w:lang w:val="en-US"/>
              </w:rPr>
              <w:t>无</w:t>
            </w:r>
          </w:p>
        </w:tc>
      </w:tr>
      <w:tr w14:paraId="5E689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61037D0F">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7474EF1B">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69E6D01D">
            <w:pPr>
              <w:jc w:val="left"/>
            </w:pPr>
            <w:r>
              <w:rPr>
                <w:rStyle w:val="14"/>
                <w:rFonts w:hint="eastAsia" w:ascii="楷体_GB2312" w:eastAsia="楷体_GB2312" w:cs="楷体_GB2312"/>
                <w:sz w:val="28"/>
                <w:szCs w:val="28"/>
                <w:bdr w:val="none" w:color="auto" w:sz="0" w:space="0"/>
                <w:lang w:val="en-US"/>
              </w:rPr>
              <w:t>无</w:t>
            </w:r>
          </w:p>
        </w:tc>
      </w:tr>
    </w:tbl>
    <w:p w14:paraId="70960A83">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696132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6"/>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5"/>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71"/>
    <w:basedOn w:val="13"/>
    <w:uiPriority w:val="0"/>
    <w:rPr>
      <w:rFonts w:hint="default" w:ascii="Times New Roman" w:hAnsi="Times New Roman" w:eastAsia="楷体_GB2312" w:cs="Times New Roman"/>
      <w:sz w:val="28"/>
      <w:szCs w:val="24"/>
    </w:rPr>
  </w:style>
  <w:style w:type="character" w:customStyle="1" w:styleId="15">
    <w:name w:val="页眉 Char"/>
    <w:basedOn w:val="13"/>
    <w:link w:val="9"/>
    <w:locked/>
    <w:uiPriority w:val="0"/>
    <w:rPr>
      <w:rFonts w:hint="default" w:ascii="Times New Roman" w:hAnsi="Times New Roman" w:eastAsia="宋体" w:cs="Times New Roman"/>
      <w:sz w:val="18"/>
      <w:szCs w:val="18"/>
    </w:rPr>
  </w:style>
  <w:style w:type="character" w:customStyle="1" w:styleId="16">
    <w:name w:val="页脚 Char"/>
    <w:basedOn w:val="13"/>
    <w:link w:val="8"/>
    <w:locked/>
    <w:uiPriority w:val="0"/>
    <w:rPr>
      <w:rFonts w:hint="default" w:ascii="Times New Roman" w:hAnsi="Times New Roman" w:eastAsia="宋体" w:cs="Times New Roman"/>
      <w:sz w:val="18"/>
      <w:szCs w:val="18"/>
    </w:rPr>
  </w:style>
  <w:style w:type="character" w:customStyle="1" w:styleId="17">
    <w:name w:val="font21"/>
    <w:basedOn w:val="13"/>
    <w:uiPriority w:val="0"/>
    <w:rPr>
      <w:rFonts w:hint="default" w:ascii="Times New Roman" w:hAnsi="Times New Roman" w:eastAsia="楷体_GB2312" w:cs="Times New Roman"/>
      <w:sz w:val="30"/>
      <w:szCs w:val="24"/>
    </w:rPr>
  </w:style>
  <w:style w:type="character" w:customStyle="1" w:styleId="18">
    <w:name w:val="font51"/>
    <w:basedOn w:val="13"/>
    <w:uiPriority w:val="0"/>
    <w:rPr>
      <w:rFonts w:hint="eastAsia" w:ascii="黑体" w:hAnsi="宋体" w:eastAsia="黑体" w:cs="黑体"/>
      <w:sz w:val="36"/>
      <w:szCs w:val="24"/>
    </w:rPr>
  </w:style>
  <w:style w:type="character" w:customStyle="1" w:styleId="19">
    <w:name w:val="font61"/>
    <w:basedOn w:val="13"/>
    <w:uiPriority w:val="0"/>
    <w:rPr>
      <w:rFonts w:hint="default" w:ascii="Times New Roman" w:hAnsi="Times New Roman" w:eastAsia="楷体_GB2312" w:cs="Times New Roman"/>
      <w:sz w:val="32"/>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8</Pages>
  <Words>3066</Words>
  <Characters>3121</Characters>
  <Lines>4</Lines>
  <Paragraphs>1</Paragraphs>
  <TotalTime>45456.4687500016</TotalTime>
  <ScaleCrop>false</ScaleCrop>
  <LinksUpToDate>false</LinksUpToDate>
  <CharactersWithSpaces>3163</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2024-06-13T03:38:59Z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E402A82CCEDA44B39F3DD2643F76103E_13</vt:lpwstr>
  </property>
</Properties>
</file>