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265206">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6ED0552C">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124309226985604041</w:t>
      </w:r>
      <w:r>
        <w:rPr>
          <w:rFonts w:eastAsia="楷体_GB2312"/>
          <w:b/>
          <w:bCs/>
          <w:sz w:val="30"/>
          <w:szCs w:val="24"/>
          <w:lang w:val="en-US"/>
        </w:rPr>
        <w:t xml:space="preserve">   </w:t>
      </w:r>
    </w:p>
    <w:p w14:paraId="4DB0337A">
      <w:pPr>
        <w:jc w:val="right"/>
        <w:rPr>
          <w:lang w:val="en-US"/>
        </w:rPr>
      </w:pPr>
    </w:p>
    <w:p w14:paraId="6DE9E03B">
      <w:pPr>
        <w:jc w:val="right"/>
        <w:rPr>
          <w:lang w:val="en-US"/>
        </w:rPr>
      </w:pPr>
    </w:p>
    <w:p w14:paraId="7A930C9A">
      <w:pPr>
        <w:jc w:val="right"/>
        <w:rPr>
          <w:lang w:val="en-US"/>
        </w:rPr>
      </w:pPr>
    </w:p>
    <w:p w14:paraId="15189817">
      <w:pPr>
        <w:jc w:val="right"/>
        <w:rPr>
          <w:lang w:val="en-US"/>
        </w:rPr>
      </w:pPr>
    </w:p>
    <w:p w14:paraId="6F1FD0FF">
      <w:pPr>
        <w:jc w:val="right"/>
        <w:rPr>
          <w:lang w:val="en-US"/>
        </w:rPr>
      </w:pPr>
    </w:p>
    <w:p w14:paraId="6B60F114">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0C97258">
      <w:pPr>
        <w:jc w:val="center"/>
        <w:rPr>
          <w:rFonts w:eastAsia="黑体"/>
          <w:b/>
          <w:bCs/>
          <w:spacing w:val="30"/>
          <w:lang w:val="en-US"/>
        </w:rPr>
      </w:pPr>
    </w:p>
    <w:p w14:paraId="70DC7BC0">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A6818D3">
      <w:pPr>
        <w:jc w:val="center"/>
        <w:rPr>
          <w:sz w:val="36"/>
          <w:szCs w:val="24"/>
          <w:lang w:val="en-US"/>
        </w:rPr>
      </w:pPr>
    </w:p>
    <w:p w14:paraId="1E5638CA">
      <w:pPr>
        <w:jc w:val="center"/>
        <w:rPr>
          <w:sz w:val="36"/>
          <w:szCs w:val="24"/>
          <w:lang w:val="en-US"/>
        </w:rPr>
      </w:pPr>
    </w:p>
    <w:p w14:paraId="76331AD1">
      <w:pPr>
        <w:jc w:val="center"/>
        <w:rPr>
          <w:sz w:val="36"/>
          <w:szCs w:val="24"/>
          <w:lang w:val="en-US"/>
        </w:rPr>
      </w:pPr>
    </w:p>
    <w:p w14:paraId="7EE36C38">
      <w:pPr>
        <w:jc w:val="center"/>
        <w:rPr>
          <w:sz w:val="36"/>
          <w:szCs w:val="24"/>
          <w:lang w:val="en-US"/>
        </w:rPr>
      </w:pPr>
    </w:p>
    <w:p w14:paraId="027332BB">
      <w:pPr>
        <w:jc w:val="center"/>
        <w:rPr>
          <w:sz w:val="36"/>
          <w:szCs w:val="24"/>
          <w:lang w:val="en-US"/>
        </w:rPr>
      </w:pPr>
    </w:p>
    <w:p w14:paraId="22A09454">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7F8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F38EFF7">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D3F07BE">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桃江县山林纠纷调处中心</w:t>
            </w:r>
          </w:p>
        </w:tc>
      </w:tr>
    </w:tbl>
    <w:p w14:paraId="0EB23D2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63E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71A055D">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CDC3954">
            <w:pPr>
              <w:keepNext w:val="0"/>
              <w:keepLines w:val="0"/>
              <w:widowControl/>
              <w:suppressLineNumbers w:val="0"/>
              <w:jc w:val="left"/>
              <w:rPr>
                <w:kern w:val="0"/>
                <w:sz w:val="20"/>
                <w:szCs w:val="20"/>
                <w:bdr w:val="none" w:color="auto" w:sz="0" w:space="0"/>
                <w:lang w:val="en-US"/>
              </w:rPr>
            </w:pPr>
          </w:p>
        </w:tc>
      </w:tr>
    </w:tbl>
    <w:p w14:paraId="6B0F32FB">
      <w:pPr>
        <w:ind w:left="0" w:firstLine="723" w:firstLineChars="300"/>
        <w:rPr>
          <w:rFonts w:hint="eastAsia" w:ascii="黑体" w:hAnsi="宋体" w:eastAsia="黑体" w:cs="黑体"/>
          <w:b/>
          <w:bCs/>
          <w:sz w:val="24"/>
          <w:szCs w:val="24"/>
          <w:u w:val="single"/>
          <w:lang w:val="en-US"/>
        </w:rPr>
      </w:pPr>
    </w:p>
    <w:p w14:paraId="44630AB8">
      <w:pPr>
        <w:jc w:val="center"/>
        <w:rPr>
          <w:rFonts w:hint="eastAsia" w:ascii="黑体" w:hAnsi="宋体" w:eastAsia="黑体" w:cs="黑体"/>
          <w:b/>
          <w:bCs/>
          <w:sz w:val="30"/>
          <w:szCs w:val="24"/>
          <w:u w:val="single"/>
          <w:lang w:val="en-US"/>
        </w:rPr>
      </w:pPr>
    </w:p>
    <w:p w14:paraId="24012547">
      <w:pPr>
        <w:jc w:val="center"/>
        <w:rPr>
          <w:rFonts w:hint="eastAsia" w:ascii="黑体" w:hAnsi="宋体" w:eastAsia="黑体" w:cs="黑体"/>
          <w:b/>
          <w:bCs/>
          <w:sz w:val="30"/>
          <w:szCs w:val="24"/>
          <w:u w:val="single"/>
          <w:lang w:val="en-US"/>
        </w:rPr>
      </w:pPr>
    </w:p>
    <w:p w14:paraId="5DA7B0CB">
      <w:pPr>
        <w:jc w:val="center"/>
        <w:rPr>
          <w:u w:val="single"/>
          <w:lang w:val="en-US"/>
        </w:rPr>
      </w:pPr>
    </w:p>
    <w:p w14:paraId="23F84294">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D8789B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571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BDDBF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73ACD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ED2B7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125CC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EAF1C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D95095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112BC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A280C48">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桃江县山林纠纷调处中心</w:t>
            </w:r>
          </w:p>
        </w:tc>
      </w:tr>
      <w:tr w14:paraId="2465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E70779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5BBEB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B8C33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A6B9FF6">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稳定林区秩序，化解林权纠纷。 依法受理和调处本辖区内集体与集体之间的山林纠纷；负责本县与周边县市山林权属纠纷调处工作；建立健全山林纠纷调处网络，指导乡镇搞好山林纠纷调处工作；积极做好政策咨询和引导，及时化解矛盾，防止事态扩大；代表县人民政府对因山林纠纷引起的行政复议和行政诉讼进行答辩并参与诉讼，确保社会稳定。</w:t>
            </w:r>
          </w:p>
        </w:tc>
      </w:tr>
      <w:tr w14:paraId="3B6B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555A51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29524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56A6E8C">
            <w:pPr>
              <w:jc w:val="left"/>
            </w:pPr>
            <w:r>
              <w:rPr>
                <w:rStyle w:val="20"/>
                <w:rFonts w:hint="eastAsia" w:ascii="楷体_GB2312" w:eastAsia="楷体_GB2312" w:cs="楷体_GB2312"/>
                <w:sz w:val="28"/>
                <w:szCs w:val="28"/>
                <w:bdr w:val="none" w:color="auto" w:sz="0" w:space="0"/>
                <w:lang w:val="en-US"/>
              </w:rPr>
              <w:t>桃江县桃花江镇桃花东路103号</w:t>
            </w:r>
          </w:p>
        </w:tc>
      </w:tr>
      <w:tr w14:paraId="3136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289D63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F620A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138A62B">
            <w:pPr>
              <w:jc w:val="left"/>
            </w:pPr>
            <w:r>
              <w:rPr>
                <w:rStyle w:val="20"/>
                <w:rFonts w:hint="eastAsia" w:ascii="楷体_GB2312" w:eastAsia="楷体_GB2312" w:cs="楷体_GB2312"/>
                <w:sz w:val="28"/>
                <w:szCs w:val="28"/>
                <w:bdr w:val="none" w:color="auto" w:sz="0" w:space="0"/>
                <w:lang w:val="en-US"/>
              </w:rPr>
              <w:t>刘江华</w:t>
            </w:r>
          </w:p>
        </w:tc>
      </w:tr>
      <w:tr w14:paraId="08E7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7BBDE5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1A590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C10490D">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w:t>
            </w:r>
            <w:r>
              <w:rPr>
                <w:rStyle w:val="20"/>
                <w:rFonts w:hint="eastAsia" w:ascii="楷体_GB2312" w:eastAsia="楷体_GB2312" w:cs="楷体_GB2312"/>
                <w:sz w:val="28"/>
                <w:szCs w:val="28"/>
                <w:bdr w:val="none" w:color="auto" w:sz="0" w:space="0"/>
              </w:rPr>
              <w:t>（万元）</w:t>
            </w:r>
          </w:p>
        </w:tc>
      </w:tr>
      <w:tr w14:paraId="5834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A1E223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EDA75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AEBA409">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1275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62DB54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664F9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D37D61A">
            <w:pPr>
              <w:jc w:val="left"/>
            </w:pPr>
            <w:r>
              <w:rPr>
                <w:rStyle w:val="20"/>
                <w:rFonts w:hint="eastAsia" w:ascii="楷体_GB2312" w:eastAsia="楷体_GB2312" w:cs="楷体_GB2312"/>
                <w:sz w:val="28"/>
                <w:szCs w:val="28"/>
                <w:bdr w:val="none" w:color="auto" w:sz="0" w:space="0"/>
                <w:lang w:val="en-US"/>
              </w:rPr>
              <w:t>桃江县林业局</w:t>
            </w:r>
          </w:p>
        </w:tc>
      </w:tr>
      <w:tr w14:paraId="061E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D212CE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C3E5EB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220AE3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0271950">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50C8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A8092A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7AE28BF">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0532E0D">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4D00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66CBA5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C9E1784">
            <w:pPr>
              <w:jc w:val="center"/>
              <w:rPr>
                <w:sz w:val="32"/>
                <w:szCs w:val="24"/>
                <w:bdr w:val="none" w:color="auto" w:sz="0" w:space="0"/>
                <w:lang w:val="en-US"/>
              </w:rPr>
            </w:pPr>
            <w:r>
              <w:rPr>
                <w:rStyle w:val="19"/>
                <w:sz w:val="32"/>
                <w:szCs w:val="24"/>
                <w:bdr w:val="none" w:color="auto" w:sz="0" w:space="0"/>
                <w:lang w:val="en-US"/>
              </w:rPr>
              <w:t>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E46F048">
            <w:pPr>
              <w:jc w:val="center"/>
            </w:pPr>
            <w:r>
              <w:rPr>
                <w:rStyle w:val="20"/>
                <w:sz w:val="32"/>
                <w:szCs w:val="32"/>
                <w:bdr w:val="none" w:color="auto" w:sz="0" w:space="0"/>
                <w:lang w:val="en-US"/>
              </w:rPr>
              <w:t>2</w:t>
            </w:r>
          </w:p>
        </w:tc>
      </w:tr>
      <w:tr w14:paraId="1C64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25809C5">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F32DD46">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桃江县山林纠纷调处中心.公益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D45DC49">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0F27334">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6</w:t>
            </w:r>
          </w:p>
        </w:tc>
      </w:tr>
      <w:tr w14:paraId="4927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D99F1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26AF28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B8728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307E1A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14A3D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5D2E0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25A49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B7527D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62196E4">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严格按照《条例》和实施细则有关规定执行，本年度无变更登记项目。</w:t>
            </w:r>
          </w:p>
        </w:tc>
      </w:tr>
      <w:tr w14:paraId="27D2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D7C56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D6D47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94195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6A4CF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4EC37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DBF4B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1D4E6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870062F">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D702AB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执行《条例》本单位章程情况：稳定林区秩序，化解林权纠纷。&amp;#160;依法受理和调处本辖区内集体与集体之间的山林纠纷；负责本县与周边县市山林权属纠纷调处工作；建立健全山林纠纷调处网络，指导乡镇搞好山林纠纷调处工作；积极做好政策咨询和引导，及时化解矛盾，防止事态扩大；代表县人民政府对因山林纠纷引起的行政复议和行政诉讼进行答辩并参与诉讼，确保社会稳定。 二、开展业务情况： 第一、重视加强信访工作，切实解决群众合理诉求。全年接待来访群众达450人次。妥善处理来访信件，处理来访信件或督办件4件。 第二、努力加强调处工作，积极稳妥化解矛盾纠纷。成功调处和指导乡镇调处8余起山林纠纷，积极协助县人民政府做好行政复议和行政诉讼的相关工作。 第三、扎实开展培训工作，努力提高调处工作能力。开展了“桃江县山林纠纷调处培训大讲堂”下乡活动，提高了乡镇和林业企事业单位山纠调处工作人员业务素质和工作能力。 三、无其他需要报告的情况。 </w:t>
            </w:r>
          </w:p>
          <w:p w14:paraId="0881B54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C12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887C6EF">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E84F4D0">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7005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DA00003">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BE3C322">
            <w:pPr>
              <w:jc w:val="left"/>
            </w:pPr>
            <w:r>
              <w:rPr>
                <w:rStyle w:val="20"/>
                <w:rFonts w:hint="eastAsia" w:ascii="楷体_GB2312" w:eastAsia="楷体_GB2312" w:cs="楷体_GB2312"/>
                <w:sz w:val="28"/>
                <w:szCs w:val="28"/>
                <w:bdr w:val="none" w:color="auto" w:sz="0" w:space="0"/>
                <w:lang w:val="en-US"/>
              </w:rPr>
              <w:t>无</w:t>
            </w:r>
          </w:p>
        </w:tc>
      </w:tr>
      <w:tr w14:paraId="402E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7F02189">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504F1F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3678757">
            <w:pPr>
              <w:jc w:val="left"/>
            </w:pPr>
            <w:r>
              <w:rPr>
                <w:rStyle w:val="20"/>
                <w:rFonts w:hint="eastAsia" w:ascii="楷体_GB2312" w:eastAsia="楷体_GB2312" w:cs="楷体_GB2312"/>
                <w:sz w:val="28"/>
                <w:szCs w:val="28"/>
                <w:bdr w:val="none" w:color="auto" w:sz="0" w:space="0"/>
                <w:lang w:val="en-US"/>
              </w:rPr>
              <w:t>无</w:t>
            </w:r>
          </w:p>
        </w:tc>
      </w:tr>
    </w:tbl>
    <w:p w14:paraId="3C7FBB7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E2415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884</Words>
  <Characters>928</Characters>
  <Lines>4</Lines>
  <Paragraphs>1</Paragraphs>
  <TotalTime>45456.4375000016</TotalTime>
  <ScaleCrop>false</ScaleCrop>
  <LinksUpToDate>false</LinksUpToDate>
  <CharactersWithSpaces>970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2024-06-13T02:59:30Z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5A2F55FC41394F23B9BD7E0C5B8A38EE_13</vt:lpwstr>
  </property>
</Properties>
</file>