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F94AC9">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04B3AC9C">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12430922447019904K</w:t>
      </w:r>
      <w:r>
        <w:rPr>
          <w:rFonts w:eastAsia="楷体_GB2312"/>
          <w:b/>
          <w:bCs/>
          <w:sz w:val="30"/>
          <w:szCs w:val="24"/>
          <w:lang w:val="en-US"/>
        </w:rPr>
        <w:t xml:space="preserve">   </w:t>
      </w:r>
    </w:p>
    <w:p w14:paraId="658367C9">
      <w:pPr>
        <w:jc w:val="right"/>
        <w:rPr>
          <w:lang w:val="en-US"/>
        </w:rPr>
      </w:pPr>
    </w:p>
    <w:p w14:paraId="6B5C1802">
      <w:pPr>
        <w:jc w:val="right"/>
        <w:rPr>
          <w:lang w:val="en-US"/>
        </w:rPr>
      </w:pPr>
    </w:p>
    <w:p w14:paraId="24309C25">
      <w:pPr>
        <w:jc w:val="right"/>
        <w:rPr>
          <w:lang w:val="en-US"/>
        </w:rPr>
      </w:pPr>
    </w:p>
    <w:p w14:paraId="2C086154">
      <w:pPr>
        <w:jc w:val="right"/>
        <w:rPr>
          <w:lang w:val="en-US"/>
        </w:rPr>
      </w:pPr>
    </w:p>
    <w:p w14:paraId="64E422AF">
      <w:pPr>
        <w:jc w:val="right"/>
        <w:rPr>
          <w:lang w:val="en-US"/>
        </w:rPr>
      </w:pPr>
    </w:p>
    <w:p w14:paraId="10D12655">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6DF21A4">
      <w:pPr>
        <w:jc w:val="center"/>
        <w:rPr>
          <w:rFonts w:eastAsia="黑体"/>
          <w:b/>
          <w:bCs/>
          <w:spacing w:val="30"/>
          <w:lang w:val="en-US"/>
        </w:rPr>
      </w:pPr>
    </w:p>
    <w:p w14:paraId="5741F73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6E971474">
      <w:pPr>
        <w:jc w:val="center"/>
        <w:rPr>
          <w:sz w:val="36"/>
          <w:szCs w:val="24"/>
          <w:lang w:val="en-US"/>
        </w:rPr>
      </w:pPr>
    </w:p>
    <w:p w14:paraId="6CA8E5DF">
      <w:pPr>
        <w:jc w:val="center"/>
        <w:rPr>
          <w:sz w:val="36"/>
          <w:szCs w:val="24"/>
          <w:lang w:val="en-US"/>
        </w:rPr>
      </w:pPr>
    </w:p>
    <w:p w14:paraId="496E7F87">
      <w:pPr>
        <w:jc w:val="center"/>
        <w:rPr>
          <w:sz w:val="36"/>
          <w:szCs w:val="24"/>
          <w:lang w:val="en-US"/>
        </w:rPr>
      </w:pPr>
    </w:p>
    <w:p w14:paraId="367675A2">
      <w:pPr>
        <w:jc w:val="center"/>
        <w:rPr>
          <w:sz w:val="36"/>
          <w:szCs w:val="24"/>
          <w:lang w:val="en-US"/>
        </w:rPr>
      </w:pPr>
    </w:p>
    <w:p w14:paraId="1BDEF328">
      <w:pPr>
        <w:jc w:val="center"/>
        <w:rPr>
          <w:sz w:val="36"/>
          <w:szCs w:val="24"/>
          <w:lang w:val="en-US"/>
        </w:rPr>
      </w:pPr>
    </w:p>
    <w:p w14:paraId="1112F3D5">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A2D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A2DD3C9">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D8D31B1">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桃江县石井头国有林场</w:t>
            </w:r>
          </w:p>
        </w:tc>
      </w:tr>
    </w:tbl>
    <w:p w14:paraId="157F3E92">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B5E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7D550E94">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8EA4415">
            <w:pPr>
              <w:keepNext w:val="0"/>
              <w:keepLines w:val="0"/>
              <w:widowControl/>
              <w:suppressLineNumbers w:val="0"/>
              <w:jc w:val="left"/>
              <w:rPr>
                <w:kern w:val="0"/>
                <w:sz w:val="20"/>
                <w:szCs w:val="20"/>
                <w:bdr w:val="none" w:color="auto" w:sz="0" w:space="0"/>
                <w:lang w:val="en-US"/>
              </w:rPr>
            </w:pPr>
          </w:p>
        </w:tc>
      </w:tr>
    </w:tbl>
    <w:p w14:paraId="51B980DD">
      <w:pPr>
        <w:ind w:left="0" w:firstLine="723" w:firstLineChars="300"/>
        <w:rPr>
          <w:rFonts w:hint="eastAsia" w:ascii="黑体" w:hAnsi="宋体" w:eastAsia="黑体" w:cs="黑体"/>
          <w:b/>
          <w:bCs/>
          <w:sz w:val="24"/>
          <w:szCs w:val="24"/>
          <w:u w:val="single"/>
          <w:lang w:val="en-US"/>
        </w:rPr>
      </w:pPr>
    </w:p>
    <w:p w14:paraId="4C485BFD">
      <w:pPr>
        <w:jc w:val="center"/>
        <w:rPr>
          <w:rFonts w:hint="eastAsia" w:ascii="黑体" w:hAnsi="宋体" w:eastAsia="黑体" w:cs="黑体"/>
          <w:b/>
          <w:bCs/>
          <w:sz w:val="30"/>
          <w:szCs w:val="24"/>
          <w:u w:val="single"/>
          <w:lang w:val="en-US"/>
        </w:rPr>
      </w:pPr>
    </w:p>
    <w:p w14:paraId="118A51F8">
      <w:pPr>
        <w:jc w:val="center"/>
        <w:rPr>
          <w:rFonts w:hint="eastAsia" w:ascii="黑体" w:hAnsi="宋体" w:eastAsia="黑体" w:cs="黑体"/>
          <w:b/>
          <w:bCs/>
          <w:sz w:val="30"/>
          <w:szCs w:val="24"/>
          <w:u w:val="single"/>
          <w:lang w:val="en-US"/>
        </w:rPr>
      </w:pPr>
    </w:p>
    <w:p w14:paraId="131D1CD9">
      <w:pPr>
        <w:jc w:val="center"/>
        <w:rPr>
          <w:u w:val="single"/>
          <w:lang w:val="en-US"/>
        </w:rPr>
      </w:pPr>
    </w:p>
    <w:p w14:paraId="6CD0F178">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7E0D640">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EEE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7BCD1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ED581C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0D1F3F2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4FD34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607801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6E17A9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4586C8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0D581C5">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桃江县石井头国有林场</w:t>
            </w:r>
          </w:p>
        </w:tc>
      </w:tr>
      <w:tr w14:paraId="5966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CDABB1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F0B05C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142028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A6ED15B">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管理国有林场，促进林业发展。 国有林场规划计划编制 林木种苗生产供应 森林培育与经营 护林防火 林木良种选育和新技术推广 林木种苗调剂 林木种苗产品质量检验与执法监督</w:t>
            </w:r>
          </w:p>
        </w:tc>
      </w:tr>
      <w:tr w14:paraId="6F77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933BEC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B3930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BD44EE7">
            <w:pPr>
              <w:jc w:val="left"/>
            </w:pPr>
            <w:r>
              <w:rPr>
                <w:rStyle w:val="20"/>
                <w:rFonts w:hint="eastAsia" w:ascii="楷体_GB2312" w:eastAsia="楷体_GB2312" w:cs="楷体_GB2312"/>
                <w:sz w:val="28"/>
                <w:szCs w:val="28"/>
                <w:bdr w:val="none" w:color="auto" w:sz="0" w:space="0"/>
                <w:lang w:val="en-US"/>
              </w:rPr>
              <w:t>桃江县高桥镇罗溪村</w:t>
            </w:r>
          </w:p>
        </w:tc>
      </w:tr>
      <w:tr w14:paraId="2EE2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A4E42C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4E26C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A93CCB5">
            <w:pPr>
              <w:jc w:val="left"/>
            </w:pPr>
            <w:r>
              <w:rPr>
                <w:rStyle w:val="20"/>
                <w:rFonts w:hint="eastAsia" w:ascii="楷体_GB2312" w:eastAsia="楷体_GB2312" w:cs="楷体_GB2312"/>
                <w:sz w:val="28"/>
                <w:szCs w:val="28"/>
                <w:bdr w:val="none" w:color="auto" w:sz="0" w:space="0"/>
                <w:lang w:val="en-US"/>
              </w:rPr>
              <w:t>李浩</w:t>
            </w:r>
          </w:p>
        </w:tc>
      </w:tr>
      <w:tr w14:paraId="6DA7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FF9384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E15EC1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DF06691">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6</w:t>
            </w:r>
            <w:r>
              <w:rPr>
                <w:rStyle w:val="20"/>
                <w:rFonts w:hint="eastAsia" w:ascii="楷体_GB2312" w:eastAsia="楷体_GB2312" w:cs="楷体_GB2312"/>
                <w:sz w:val="28"/>
                <w:szCs w:val="28"/>
                <w:bdr w:val="none" w:color="auto" w:sz="0" w:space="0"/>
              </w:rPr>
              <w:t>（万元）</w:t>
            </w:r>
          </w:p>
        </w:tc>
      </w:tr>
      <w:tr w14:paraId="6C50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527175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DCDB80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E579059">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1604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E3BFBC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FC378D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E86F4FA">
            <w:pPr>
              <w:jc w:val="left"/>
            </w:pPr>
            <w:r>
              <w:rPr>
                <w:rStyle w:val="20"/>
                <w:rFonts w:hint="eastAsia" w:ascii="楷体_GB2312" w:eastAsia="楷体_GB2312" w:cs="楷体_GB2312"/>
                <w:sz w:val="28"/>
                <w:szCs w:val="28"/>
                <w:bdr w:val="none" w:color="auto" w:sz="0" w:space="0"/>
                <w:lang w:val="en-US"/>
              </w:rPr>
              <w:t>桃江县桃花江国家森林公园管理处</w:t>
            </w:r>
          </w:p>
        </w:tc>
      </w:tr>
      <w:tr w14:paraId="3FEA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58243B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5CD9365">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7383E90">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6D5BF62">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2010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E5E063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BDEB0F0">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0C271D9">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719A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EA6D96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3D1167B">
            <w:pPr>
              <w:jc w:val="center"/>
              <w:rPr>
                <w:sz w:val="32"/>
                <w:szCs w:val="24"/>
                <w:bdr w:val="none" w:color="auto" w:sz="0" w:space="0"/>
                <w:lang w:val="en-US"/>
              </w:rPr>
            </w:pPr>
            <w:r>
              <w:rPr>
                <w:rStyle w:val="16"/>
                <w:sz w:val="32"/>
                <w:szCs w:val="24"/>
                <w:bdr w:val="none" w:color="auto" w:sz="0" w:space="0"/>
                <w:lang w:val="en-US"/>
              </w:rPr>
              <w:t>70500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CCC563F">
            <w:pPr>
              <w:jc w:val="center"/>
            </w:pPr>
            <w:r>
              <w:rPr>
                <w:rStyle w:val="20"/>
                <w:sz w:val="32"/>
                <w:szCs w:val="32"/>
                <w:bdr w:val="none" w:color="auto" w:sz="0" w:space="0"/>
                <w:lang w:val="en-US"/>
              </w:rPr>
              <w:t>70500</w:t>
            </w:r>
          </w:p>
        </w:tc>
      </w:tr>
      <w:tr w14:paraId="13F7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874D822">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77E87E0">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桃江县石井头国有林场</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0FCE22B">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15A50E2">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40</w:t>
            </w:r>
          </w:p>
        </w:tc>
      </w:tr>
      <w:tr w14:paraId="5F6A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9F453B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A93E4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4959EF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80EA03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16D4D5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37A40E5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9021E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26153A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77C02D1">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严格按照《条例》和实施细则有关规定执行</w:t>
            </w:r>
          </w:p>
        </w:tc>
      </w:tr>
      <w:tr w14:paraId="6125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34095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34419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66D95A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2162DD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3A6A7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448A8EA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C6B348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2442F896">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724D66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2023年桃江县石井头国有林场在桃花江国家森林公园管理处的领导下，认真贯彻《事业单位登记管理暂行条例》及《事业单位暂行条例实施细则》的有关规定，按照核准登记的业务范围积极开展活动。现将业务活动开展情况汇报如下： 一、夯实生态屏障建设，加强森林资源保护。一是对绿葱坳工区生活设施更新，并完成了场部绿化建设、新建林道600米维修林道1公里，职工生产生活条件和服务水平全面提高；二是森林资源提质和保护力度加大。根据年初规划，共计完成森林抚育任务200亩，造林100亩，森林提质进一步提升；三是病虫害防治及时。2023年全县竹蝗灾害形式严峻，林场严格按照上级部署加强落实，积极开展诱杀等防治措施，由于防治及时，林场灾害损失不大。 二、强化森林防火安全，加大隐患排查力度。全面深入推进林长制建设，严格落实森林防火工作责任制。一是完成了森林防火系统一张图建设；二是积极向上争取资金，完善基础设施和森林防火设施，如生活设施条件、生物防火林带建设、消防蓄水池建设。截至目前，完成生物防火林带建设3公里，消防蓄水池建设9个，并采购了一批基础性防灭火设备。三是组织防灭火培训和演练，提高林场防灭火队伍装备实操技能和实战能力。于7月份组织了森林防灭火器器材维护和使用培训，8月20日组织了森林防灭火演练。四是加强安全隐患排查和整改。实行分包路段责任制，责任到人，并设立巡查机制，并在易家湾工区地质灾害隐患和安全隐患路段设立了警示牌和警戒线，今年以来结合林长制开展安全隐患排查100余次，发现并解决问题43个；五是强化宣传，通过宣传车、张贴标语等形式在林区广泛宣传森林防灭知识，提高群众安全防范意识，并结合主题党日活动开展实践活动，组织职工对林区游客和群众进行面对面宣传，提高宣传实效。截至目前，共出动防灭火宣传车150余次，张贴森林防火标语200多张。六是加强了与镇村、五菱风力发电沟通，实现联防联治。 三、调整森林结构，促进林场绿色发展。林场充分发挥生态优势，依托现有的高山生态和富硒土壤资源，全力发展产业谋发展，2023年150亩高山富硒茶园已初步成形。 </w:t>
            </w:r>
          </w:p>
          <w:p w14:paraId="3E4F6F9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A98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D59589B">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9382F9B">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42B6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626CB87">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0BE9065E">
            <w:pPr>
              <w:jc w:val="left"/>
            </w:pPr>
            <w:r>
              <w:rPr>
                <w:rStyle w:val="20"/>
                <w:rFonts w:hint="eastAsia" w:ascii="楷体_GB2312" w:eastAsia="楷体_GB2312" w:cs="楷体_GB2312"/>
                <w:sz w:val="28"/>
                <w:szCs w:val="28"/>
                <w:bdr w:val="none" w:color="auto" w:sz="0" w:space="0"/>
                <w:lang w:val="en-US"/>
              </w:rPr>
              <w:t>无</w:t>
            </w:r>
          </w:p>
        </w:tc>
      </w:tr>
      <w:tr w14:paraId="2D5F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572FBB8">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0086882">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8A9A7C8">
            <w:pPr>
              <w:jc w:val="left"/>
            </w:pPr>
            <w:r>
              <w:rPr>
                <w:rStyle w:val="20"/>
                <w:rFonts w:hint="eastAsia" w:ascii="楷体_GB2312" w:eastAsia="楷体_GB2312" w:cs="楷体_GB2312"/>
                <w:sz w:val="28"/>
                <w:szCs w:val="28"/>
                <w:bdr w:val="none" w:color="auto" w:sz="0" w:space="0"/>
                <w:lang w:val="en-US"/>
              </w:rPr>
              <w:t>无</w:t>
            </w:r>
          </w:p>
        </w:tc>
      </w:tr>
    </w:tbl>
    <w:p w14:paraId="50695EDF">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CBE0F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hps"/>
    <w:basedOn w:val="13"/>
    <w:uiPriority w:val="0"/>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1235</Words>
  <Characters>1304</Characters>
  <Lines>4</Lines>
  <Paragraphs>1</Paragraphs>
  <TotalTime>45456.6562500016</TotalTime>
  <ScaleCrop>false</ScaleCrop>
  <LinksUpToDate>false</LinksUpToDate>
  <CharactersWithSpaces>1350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2024-06-13T08:16:08Z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D5432130172848EAACD025EB99E399B8_13</vt:lpwstr>
  </property>
</Properties>
</file>