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B720871">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7F442215">
      <w:pPr>
        <w:wordWrap w:val="0"/>
        <w:jc w:val="right"/>
        <w:rPr>
          <w:rFonts w:eastAsia="楷体_GB2312"/>
          <w:b/>
          <w:bCs/>
          <w:sz w:val="30"/>
          <w:szCs w:val="24"/>
          <w:lang w:val="en-US"/>
        </w:rPr>
      </w:pPr>
      <w:r>
        <w:rPr>
          <w:rFonts w:eastAsia="楷体_GB2312"/>
          <w:b/>
          <w:bCs/>
          <w:sz w:val="30"/>
          <w:szCs w:val="24"/>
          <w:lang w:val="en-US"/>
        </w:rPr>
        <w:t xml:space="preserve">   </w:t>
      </w:r>
      <w:r>
        <w:rPr>
          <w:rStyle w:val="15"/>
          <w:b/>
          <w:bCs/>
          <w:sz w:val="30"/>
          <w:szCs w:val="30"/>
          <w:lang w:val="en-US"/>
        </w:rPr>
        <w:t>12430922447019955U</w:t>
      </w:r>
      <w:r>
        <w:rPr>
          <w:rFonts w:eastAsia="楷体_GB2312"/>
          <w:b/>
          <w:bCs/>
          <w:sz w:val="30"/>
          <w:szCs w:val="24"/>
          <w:lang w:val="en-US"/>
        </w:rPr>
        <w:t xml:space="preserve">   </w:t>
      </w:r>
    </w:p>
    <w:p w14:paraId="3B730099">
      <w:pPr>
        <w:jc w:val="right"/>
        <w:rPr>
          <w:lang w:val="en-US"/>
        </w:rPr>
      </w:pPr>
    </w:p>
    <w:p w14:paraId="56DAA1FC">
      <w:pPr>
        <w:jc w:val="right"/>
        <w:rPr>
          <w:lang w:val="en-US"/>
        </w:rPr>
      </w:pPr>
    </w:p>
    <w:p w14:paraId="453CEF95">
      <w:pPr>
        <w:jc w:val="right"/>
        <w:rPr>
          <w:lang w:val="en-US"/>
        </w:rPr>
      </w:pPr>
    </w:p>
    <w:p w14:paraId="69332A71">
      <w:pPr>
        <w:jc w:val="right"/>
        <w:rPr>
          <w:lang w:val="en-US"/>
        </w:rPr>
      </w:pPr>
    </w:p>
    <w:p w14:paraId="67DAB8B4">
      <w:pPr>
        <w:jc w:val="right"/>
        <w:rPr>
          <w:lang w:val="en-US"/>
        </w:rPr>
      </w:pPr>
    </w:p>
    <w:p w14:paraId="1A25AEF5">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158FA950">
      <w:pPr>
        <w:jc w:val="center"/>
        <w:rPr>
          <w:rFonts w:eastAsia="黑体"/>
          <w:b/>
          <w:bCs/>
          <w:spacing w:val="30"/>
          <w:lang w:val="en-US"/>
        </w:rPr>
      </w:pPr>
    </w:p>
    <w:p w14:paraId="6248BAC5">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5"/>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079FCB93">
      <w:pPr>
        <w:jc w:val="center"/>
        <w:rPr>
          <w:sz w:val="36"/>
          <w:szCs w:val="24"/>
          <w:lang w:val="en-US"/>
        </w:rPr>
      </w:pPr>
    </w:p>
    <w:p w14:paraId="59E92EC9">
      <w:pPr>
        <w:jc w:val="center"/>
        <w:rPr>
          <w:sz w:val="36"/>
          <w:szCs w:val="24"/>
          <w:lang w:val="en-US"/>
        </w:rPr>
      </w:pPr>
    </w:p>
    <w:p w14:paraId="3D854DB9">
      <w:pPr>
        <w:jc w:val="center"/>
        <w:rPr>
          <w:sz w:val="36"/>
          <w:szCs w:val="24"/>
          <w:lang w:val="en-US"/>
        </w:rPr>
      </w:pPr>
    </w:p>
    <w:p w14:paraId="76ED0B0A">
      <w:pPr>
        <w:jc w:val="center"/>
        <w:rPr>
          <w:sz w:val="36"/>
          <w:szCs w:val="24"/>
          <w:lang w:val="en-US"/>
        </w:rPr>
      </w:pPr>
    </w:p>
    <w:p w14:paraId="4EE8DFD5">
      <w:pPr>
        <w:jc w:val="center"/>
        <w:rPr>
          <w:sz w:val="36"/>
          <w:szCs w:val="24"/>
          <w:lang w:val="en-US"/>
        </w:rPr>
      </w:pPr>
    </w:p>
    <w:p w14:paraId="697D34C2">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5AB73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43450214">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69A44F75">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桃江县砂石市场管理办公室</w:t>
            </w:r>
          </w:p>
        </w:tc>
      </w:tr>
    </w:tbl>
    <w:p w14:paraId="1406EFDC">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270F1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45DFFC3F">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6CC11A0E">
            <w:pPr>
              <w:keepNext w:val="0"/>
              <w:keepLines w:val="0"/>
              <w:widowControl/>
              <w:suppressLineNumbers w:val="0"/>
              <w:jc w:val="left"/>
              <w:rPr>
                <w:kern w:val="0"/>
                <w:sz w:val="20"/>
                <w:szCs w:val="20"/>
                <w:bdr w:val="none" w:color="auto" w:sz="0" w:space="0"/>
                <w:lang w:val="en-US"/>
              </w:rPr>
            </w:pPr>
          </w:p>
        </w:tc>
      </w:tr>
    </w:tbl>
    <w:p w14:paraId="29F4D180">
      <w:pPr>
        <w:ind w:left="0" w:firstLine="723" w:firstLineChars="300"/>
        <w:rPr>
          <w:rFonts w:hint="eastAsia" w:ascii="黑体" w:hAnsi="宋体" w:eastAsia="黑体" w:cs="黑体"/>
          <w:b/>
          <w:bCs/>
          <w:sz w:val="24"/>
          <w:szCs w:val="24"/>
          <w:u w:val="single"/>
          <w:lang w:val="en-US"/>
        </w:rPr>
      </w:pPr>
    </w:p>
    <w:p w14:paraId="73E4C46E">
      <w:pPr>
        <w:jc w:val="center"/>
        <w:rPr>
          <w:rFonts w:hint="eastAsia" w:ascii="黑体" w:hAnsi="宋体" w:eastAsia="黑体" w:cs="黑体"/>
          <w:b/>
          <w:bCs/>
          <w:sz w:val="30"/>
          <w:szCs w:val="24"/>
          <w:u w:val="single"/>
          <w:lang w:val="en-US"/>
        </w:rPr>
      </w:pPr>
    </w:p>
    <w:p w14:paraId="3B488C84">
      <w:pPr>
        <w:jc w:val="center"/>
        <w:rPr>
          <w:rFonts w:hint="eastAsia" w:ascii="黑体" w:hAnsi="宋体" w:eastAsia="黑体" w:cs="黑体"/>
          <w:b/>
          <w:bCs/>
          <w:sz w:val="30"/>
          <w:szCs w:val="24"/>
          <w:u w:val="single"/>
          <w:lang w:val="en-US"/>
        </w:rPr>
      </w:pPr>
    </w:p>
    <w:p w14:paraId="70B59016">
      <w:pPr>
        <w:jc w:val="center"/>
        <w:rPr>
          <w:u w:val="single"/>
          <w:lang w:val="en-US"/>
        </w:rPr>
      </w:pPr>
    </w:p>
    <w:p w14:paraId="18C8AAAB">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59CAA23C">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255B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2A4CB53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3532650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1C68EA7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4C5684F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0A4A433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091210E2">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52509FF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2011EB55">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桃江县砂石市场管理办公室（桃江县河道管理站）</w:t>
            </w:r>
          </w:p>
        </w:tc>
      </w:tr>
      <w:tr w14:paraId="1069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5ECB99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4A31E7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2F0D4C1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0688CEF">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负责县管河道范围内水利工程设施的划界确权；负责县管河道范围内占河、占滩、穿（临）堤修建各类工程设施，存放物资等活动的监督管理；负责河道水生态保护与修复、河道生态流量水量管理及河湖水系连通工作；按照职责分工，监督河道采砂工作；组织河道砂石资源开采利用规划和年度开采计划的编制；组织河道采砂经营权管理和监督；组织实施河道管理范围内建设方案审查。</w:t>
            </w:r>
          </w:p>
        </w:tc>
      </w:tr>
      <w:tr w14:paraId="57D9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9DB28E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EB4DE4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8C035E8">
            <w:pPr>
              <w:jc w:val="left"/>
            </w:pPr>
            <w:r>
              <w:rPr>
                <w:rStyle w:val="19"/>
                <w:rFonts w:hint="eastAsia" w:ascii="楷体_GB2312" w:eastAsia="楷体_GB2312" w:cs="楷体_GB2312"/>
                <w:sz w:val="28"/>
                <w:szCs w:val="28"/>
                <w:bdr w:val="none" w:color="auto" w:sz="0" w:space="0"/>
                <w:lang w:val="en-US"/>
              </w:rPr>
              <w:t>桃江县桃花江镇芙蓉路65号</w:t>
            </w:r>
          </w:p>
        </w:tc>
      </w:tr>
      <w:tr w14:paraId="0F6B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6E070C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41A59D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4F12BC1">
            <w:pPr>
              <w:jc w:val="left"/>
            </w:pPr>
            <w:r>
              <w:rPr>
                <w:rStyle w:val="19"/>
                <w:rFonts w:hint="eastAsia" w:ascii="楷体_GB2312" w:eastAsia="楷体_GB2312" w:cs="楷体_GB2312"/>
                <w:sz w:val="28"/>
                <w:szCs w:val="28"/>
                <w:bdr w:val="none" w:color="auto" w:sz="0" w:space="0"/>
                <w:lang w:val="en-US"/>
              </w:rPr>
              <w:t>李鸿</w:t>
            </w:r>
          </w:p>
        </w:tc>
      </w:tr>
      <w:tr w14:paraId="0172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FC5899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95EAD0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D56AAB5">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4.7</w:t>
            </w:r>
            <w:r>
              <w:rPr>
                <w:rStyle w:val="19"/>
                <w:rFonts w:hint="eastAsia" w:ascii="楷体_GB2312" w:eastAsia="楷体_GB2312" w:cs="楷体_GB2312"/>
                <w:sz w:val="28"/>
                <w:szCs w:val="28"/>
                <w:bdr w:val="none" w:color="auto" w:sz="0" w:space="0"/>
              </w:rPr>
              <w:t>（万元）</w:t>
            </w:r>
          </w:p>
        </w:tc>
      </w:tr>
      <w:tr w14:paraId="461E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5C3FDC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E9866F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45D7F31">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财政补助（全额拨款）</w:t>
            </w:r>
          </w:p>
        </w:tc>
      </w:tr>
      <w:tr w14:paraId="55CE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E32376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8508F6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723D8C7F">
            <w:pPr>
              <w:jc w:val="left"/>
            </w:pPr>
            <w:r>
              <w:rPr>
                <w:rStyle w:val="19"/>
                <w:rFonts w:hint="eastAsia" w:ascii="楷体_GB2312" w:eastAsia="楷体_GB2312" w:cs="楷体_GB2312"/>
                <w:sz w:val="28"/>
                <w:szCs w:val="28"/>
                <w:bdr w:val="none" w:color="auto" w:sz="0" w:space="0"/>
                <w:lang w:val="en-US"/>
              </w:rPr>
              <w:t>桃江县水利局</w:t>
            </w:r>
          </w:p>
        </w:tc>
      </w:tr>
      <w:tr w14:paraId="1EC1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5DB8F8E9">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11933021">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0B8EBE2A">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5AE335A0">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14:paraId="2C39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ED5937F">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2E38803">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2775ED18">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14:paraId="5C41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85DAB27">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9929417">
            <w:pPr>
              <w:jc w:val="center"/>
              <w:rPr>
                <w:sz w:val="32"/>
                <w:szCs w:val="24"/>
                <w:bdr w:val="none" w:color="auto" w:sz="0" w:space="0"/>
                <w:lang w:val="en-US"/>
              </w:rPr>
            </w:pPr>
            <w:r>
              <w:rPr>
                <w:rStyle w:val="18"/>
                <w:sz w:val="32"/>
                <w:szCs w:val="24"/>
                <w:bdr w:val="none" w:color="auto" w:sz="0" w:space="0"/>
                <w:lang w:val="en-US"/>
              </w:rPr>
              <w:t>4.7</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4DB496F3">
            <w:pPr>
              <w:jc w:val="center"/>
            </w:pPr>
            <w:r>
              <w:rPr>
                <w:rStyle w:val="19"/>
                <w:sz w:val="32"/>
                <w:szCs w:val="32"/>
                <w:bdr w:val="none" w:color="auto" w:sz="0" w:space="0"/>
                <w:lang w:val="en-US"/>
              </w:rPr>
              <w:t>4.7</w:t>
            </w:r>
          </w:p>
        </w:tc>
      </w:tr>
      <w:tr w14:paraId="679D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D7C6160">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783BD32">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桃江县砂石市场管理办公室（桃江县河道管理站）</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3753E9F0">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7C47226A">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9</w:t>
            </w:r>
          </w:p>
        </w:tc>
      </w:tr>
      <w:tr w14:paraId="1EF5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F7190C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1355695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1F4D73C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14E1E89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5B7C7A9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2AE97EB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269E856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0429C05F">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BD739CF">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严格按《条例》和实施细则有关变更登记规定执行</w:t>
            </w:r>
          </w:p>
        </w:tc>
      </w:tr>
      <w:tr w14:paraId="66DB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606EAB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4C42175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6AAF45B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75E9F8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2BDDAAC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60E5748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573644F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5401CAEF">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68A452D">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1.巩固了河湖“清四乱”专项整治行动成果。按照河湖“清四乱”常态化规范化建设工作的要求，配合县河长办进一步巩固开展了“清四乱”自查及整治工作，同时，按照水利部要求，按照时间节点及时完成了水利部2023年度遥感卫星监测桃江1033处河湖疑似图斑复核工作，其中170处“属实问题”已按照上级规定期限在11月20日前完成整改销号任务。 2.根据上级要求，县河长办制定了《桃江县河道采砂专项整治工作方案》，通过本方案的实施，使非法采砂或以疏浚之名行采砂等问题得到全面遏制。 3.根据湘水办函[2023]121号《湖南省水利厅办公室关于印发湖南省河湖名录梳理复核技术方案的通知》，我局委托益阳市水利水电勘测设计院有限公司及时完成了我县70条河道复核等相关工作，并对47条山区内河道相关信息进行了公示，下一步，将根据上级要求以及我县河道实际情况，及时完成其他复核任务。 4.加强了河道保洁工作。按照人居环境建设及河长制工作要求，出台了《桃江县河湖垃圾清理专项行动工作方案》（桃河委办〔2023〕3号），《桃江县河湖水域岸线专项整治工作方案》（桃河委办〔2023〕6号）明确了垃圾整治和水域岸线整治的工作范围、目标、内容、步骤、责任分工及要求，及时传达上级精神，将河湖垃圾清理和岸线整治作为当前河湖管护的重要工作内容。对资水桃江段，特别是马迹塘、白竹洲、修山电厂库区纳入了日常巡查监管范围，及时反馈省保洁监控系统下发的漂浮物超标提醒及整改，对河道水面垃圾、漂浮物及时督促安排了打捞清运。 </w:t>
            </w:r>
          </w:p>
          <w:p w14:paraId="17DBBAC1">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446A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BC6F9B0">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C4F8460">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14:paraId="7CE7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53596324">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78AAC486">
            <w:pPr>
              <w:jc w:val="left"/>
            </w:pPr>
            <w:r>
              <w:rPr>
                <w:rStyle w:val="19"/>
                <w:rFonts w:hint="eastAsia" w:ascii="楷体_GB2312" w:eastAsia="楷体_GB2312" w:cs="楷体_GB2312"/>
                <w:sz w:val="28"/>
                <w:szCs w:val="28"/>
                <w:bdr w:val="none" w:color="auto" w:sz="0" w:space="0"/>
                <w:lang w:val="en-US"/>
              </w:rPr>
              <w:t>无</w:t>
            </w:r>
          </w:p>
        </w:tc>
      </w:tr>
      <w:tr w14:paraId="22B4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BDCBAB8">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104FC348">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8BAF0DA">
            <w:pPr>
              <w:jc w:val="left"/>
            </w:pPr>
            <w:r>
              <w:rPr>
                <w:rStyle w:val="19"/>
                <w:rFonts w:hint="eastAsia" w:ascii="楷体_GB2312" w:eastAsia="楷体_GB2312" w:cs="楷体_GB2312"/>
                <w:sz w:val="28"/>
                <w:szCs w:val="28"/>
                <w:bdr w:val="none" w:color="auto" w:sz="0" w:space="0"/>
                <w:lang w:val="en-US"/>
              </w:rPr>
              <w:t>无</w:t>
            </w:r>
          </w:p>
        </w:tc>
      </w:tr>
    </w:tbl>
    <w:p w14:paraId="32185268">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61054B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font21"/>
    <w:basedOn w:val="13"/>
    <w:uiPriority w:val="0"/>
    <w:rPr>
      <w:rFonts w:hint="default" w:ascii="Times New Roman" w:hAnsi="Times New Roman" w:eastAsia="楷体_GB2312" w:cs="Times New Roman"/>
      <w:sz w:val="30"/>
      <w:szCs w:val="24"/>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1121</Words>
  <Characters>1193</Characters>
  <Lines>4</Lines>
  <Paragraphs>1</Paragraphs>
  <TotalTime>45456.4375000016</TotalTime>
  <ScaleCrop>false</ScaleCrop>
  <LinksUpToDate>false</LinksUpToDate>
  <CharactersWithSpaces>1232</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2024-06-13T02:41:02Z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6D2E638CB8704B73BA052023B108FEFB_13</vt:lpwstr>
  </property>
</Properties>
</file>