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F4EEE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CDCD63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12430922MB1B928910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1EFFBD3">
      <w:pPr>
        <w:jc w:val="right"/>
        <w:rPr>
          <w:lang w:val="en-US"/>
        </w:rPr>
      </w:pPr>
    </w:p>
    <w:p w14:paraId="1599C7F9">
      <w:pPr>
        <w:jc w:val="right"/>
        <w:rPr>
          <w:lang w:val="en-US"/>
        </w:rPr>
      </w:pPr>
    </w:p>
    <w:p w14:paraId="34790EF9">
      <w:pPr>
        <w:jc w:val="right"/>
        <w:rPr>
          <w:lang w:val="en-US"/>
        </w:rPr>
      </w:pPr>
    </w:p>
    <w:p w14:paraId="1DA9404C">
      <w:pPr>
        <w:jc w:val="right"/>
        <w:rPr>
          <w:lang w:val="en-US"/>
        </w:rPr>
      </w:pPr>
    </w:p>
    <w:p w14:paraId="4B6B1CE1">
      <w:pPr>
        <w:jc w:val="right"/>
        <w:rPr>
          <w:lang w:val="en-US"/>
        </w:rPr>
      </w:pPr>
    </w:p>
    <w:p w14:paraId="7A182CF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33CA076">
      <w:pPr>
        <w:jc w:val="center"/>
        <w:rPr>
          <w:rFonts w:eastAsia="黑体"/>
          <w:b/>
          <w:bCs/>
          <w:spacing w:val="30"/>
          <w:lang w:val="en-US"/>
        </w:rPr>
      </w:pPr>
    </w:p>
    <w:p w14:paraId="0635720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64B3A5E">
      <w:pPr>
        <w:jc w:val="center"/>
        <w:rPr>
          <w:sz w:val="36"/>
          <w:szCs w:val="24"/>
          <w:lang w:val="en-US"/>
        </w:rPr>
      </w:pPr>
    </w:p>
    <w:p w14:paraId="6BF703C3">
      <w:pPr>
        <w:jc w:val="center"/>
        <w:rPr>
          <w:sz w:val="36"/>
          <w:szCs w:val="24"/>
          <w:lang w:val="en-US"/>
        </w:rPr>
      </w:pPr>
    </w:p>
    <w:p w14:paraId="161ADFD2">
      <w:pPr>
        <w:jc w:val="center"/>
        <w:rPr>
          <w:sz w:val="36"/>
          <w:szCs w:val="24"/>
          <w:lang w:val="en-US"/>
        </w:rPr>
      </w:pPr>
    </w:p>
    <w:p w14:paraId="18077CB9">
      <w:pPr>
        <w:jc w:val="center"/>
        <w:rPr>
          <w:sz w:val="36"/>
          <w:szCs w:val="24"/>
          <w:lang w:val="en-US"/>
        </w:rPr>
      </w:pPr>
    </w:p>
    <w:p w14:paraId="768ADA17">
      <w:pPr>
        <w:jc w:val="center"/>
        <w:rPr>
          <w:sz w:val="36"/>
          <w:szCs w:val="24"/>
          <w:lang w:val="en-US"/>
        </w:rPr>
      </w:pPr>
    </w:p>
    <w:p w14:paraId="0617B70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FA7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FB8FC7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CAB76F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桃江县石牛江镇农业综合服务中心</w:t>
            </w:r>
          </w:p>
        </w:tc>
      </w:tr>
    </w:tbl>
    <w:p w14:paraId="68AF6AA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D82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3C0D873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41FD19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824CA5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8CAB0D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62463B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97337CD">
      <w:pPr>
        <w:jc w:val="center"/>
        <w:rPr>
          <w:u w:val="single"/>
          <w:lang w:val="en-US"/>
        </w:rPr>
      </w:pPr>
    </w:p>
    <w:p w14:paraId="1D920D9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C00952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A53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35D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8106F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97788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43058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36CC1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3EDA51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F5A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54E12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桃江县石牛江镇农业综合服务中心</w:t>
            </w:r>
          </w:p>
        </w:tc>
      </w:tr>
      <w:tr w14:paraId="676E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0E1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15D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29AD7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7D4B1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经济发展办公室（农业农村和扶贫办公室）的工作，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</w:t>
            </w:r>
          </w:p>
        </w:tc>
      </w:tr>
      <w:tr w14:paraId="4A09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B6B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AB8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924ED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桃江县石牛江镇幸福路</w:t>
            </w:r>
          </w:p>
        </w:tc>
      </w:tr>
      <w:tr w14:paraId="2F63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697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672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56290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彭志宇</w:t>
            </w:r>
          </w:p>
        </w:tc>
      </w:tr>
      <w:tr w14:paraId="24E0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10C6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1B54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8CD92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C54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AD7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36AE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8B6F2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E09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C66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5B2B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E77AD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桃江县石牛江镇人民政府</w:t>
            </w:r>
          </w:p>
        </w:tc>
      </w:tr>
      <w:tr w14:paraId="289D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FE1E5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FC3BA9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ABB8D2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1AA815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8E0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384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8ADA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E1988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ABD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4D4F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69A8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4DED63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FE1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39C30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634B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桃江县石牛江镇农业综合服务中心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9959D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EA9DF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 w14:paraId="3C4A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6EC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99839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C9A43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08163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75516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3442E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B466B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F933A9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DA470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04F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E00D9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A3CAB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9A08A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02E87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92402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E379B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31616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213DF0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969A5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一、农技站工作： 1、层层压实责任，全面完成双季稻生产任务。积极与县局对接发展粮食生产，二季度已完成水稻播种面积4.5450万亩，早稻专业化集中育秧1.1250万亩，水稻机插秧2000亩，圆满完成了早稻生产下达的目标任务。狠抓高产创建，稳定粮食产量。成功创建了1个万亩示范片，5个千亩示范片，并通过整合资金加大了补贴力度。 2、兢兢业业，做好农技技术指导。喷洒叶面阻镉剂3500余亩，同时指导农户采取水淹等措施，对粮食作物的降镉起到了不错的效果。大力推广低吸镉品种。一季稻推广臻两优8612号低吸镉品种1080亩，黄花粘、株两优189、株两优819、深两优5814等常规低吸镉品种13700余亩，低吸镉品种的推广，对粮食作物的降镉起到了较大的作用，为粮食生产提质增效起到了积极的作用。 3、据实投保理赔，做好农业保险工作。对早中稻面积投保22300亩、玉米投保面积2500亩、棉花投保面积3150亩，据实投保理赔。 4、2023年总完成油菜播种面积1.2万亩，小麦1500亩，紫云英1680亩，绿肥2360亩，圆满完成了年初下达的目标任务。成功创建了1个油菜万亩示范片，3个油菜千亩示范片，1个绿肥百亩示范片。 5、做好粮食质量产地溯源、超标稻谷收储以及化肥减量增效工作。确保粮食提质增效、确保超标粮食尽数入库不流入口粮市场。 6、全年完成早中晚稻样品检测245个，指导农户开展农药化肥减量576人次，推广测土配方施肥25480公斤，已完成耕地地利补贴的发放，完成了每月对10户示范种植户进行上门技术指导。 二、林业工作： 1、新造林绿化工作。全镇新造林面积680多亩，其中油茶成片造林23亩，四旁植树657亩，抚育间伐1250亩。 2、森林防火工作。多次通过全镇“村村响”、发放宣传资料、屋场会、宣传车的形式进行宣传，全镇护林员合理使巡护APP进行宣传。以“时时放心不下”的责任感，为真正“守住山、看住人、管住火”原则，，加强野外用火管理，并提高村民们的防火意识，进一步绷紧森林防灭火“安全弦”，筑牢森林“防火墙”，做好青山守关人。 3、基地建设。新建笋竹两用林基地2个，修建林道4.5公里。 4、林长制工作。以“林长制”为牵引推动实现“林长治”，为了进一步坚持推进我镇林长制工作，构建全域保护新格局。我镇在完善“林长+监管员+护林员+网格员的机制”下，精准划分责任区域，设立林长制公示牌，加强督促护林员的巡护工作，实现林长和护林员入格入网，形成了山有人管、林有人护、责有人担的源头治理架构，确保了我镇林长制工作的有序开展。 5、完成了天保林和生态公益林资金的发放工作。 6、搞好了全镇蝗虫防治工作。 三、动检工作： 1、完成全镇范围内春季动物防疫集中免疫工作，建立动物疫情监测网格化队伍，对由村级防疫员担任的网格员进行系统培训，全面监测我镇畜牧业重大动物疫情，每季度对监测报告汇总存档；协助县国调队完成我镇主要畜禽监测样本轮换工作。 2、开展畜牧业安全生产宣传及巡查，发放沼气安全使用宣传资料；宣传、指导养殖户使用牧云通APP建立养殖档案及规模场“先打后补”操作流程。 3、开展大清洗、大消毒行动，发放消毒液并指导养殖户定期清洗消毒，降低疫情风险。 4、开展非洲猪瘟、牛羊布鲁氏病排查；规模场口蹄疫、禽流感、布鲁氏菌病、小反刍兽疫进行采样检测；春季动物防疫抗体检测采样及规模场先打后补抗体检测采样；指导养殖户熟悉牧云通APP检疫申报流程，推进检疫申报工作无纸化工作； 5、推进兽药减量行动，对去年申请的规模场采样检测兽药残留情况；推进畜禽粪污资源化利用进度，协助富立来生物有机肥公司对全镇养殖场沼液还田； 6、完成全镇范围内秋季动物集中免疫工作；宣传病死动物集中无害化处理，由无害化处理中心收集集中处理；协调保险公司完成我镇能繁母猪、育肥猪集中投保及病死猪赔付工作。 四、水利工作： 1、防汛抗旱：及时搞好了雨情、汛情的上传下达，搞好了六座水库、五口骨干山塘的巡查排查，认真落实了防汛三级响应的各项措施，确保了全镇安全度汛。 2、水利建设：投入资金10多万元，搞好南山支渠、高町支渠、和尚坝、立功坝等小型水利设施日常维护维修、清淤扫障，确保了全镇农业生产的用水需求，争取上级水利资金50余万元，完成山塘清淤24口。 3、安全饮水：认真及时搞好了黄泥田、游伏沙两处农饮工程的水质检测及日常供水。投入资金10万余元架设抽水设备三台套，抽水补水近20万立方，确保了大旱之年我镇黄泥田、游伏沙供水工程的正常运行及农民群众的日常用水，争取上级水利资金20余万元，架设管道3000余米，完成了游伏沙供水工程的提质改造。 4、河长制工作：巡河实现了常态化，按要求运用河长制APP打卡完成了巡河任务。及时报送了巡河及河湖水域岸线问题报表，及时完成了卫星图斑的核查核实及销号工作。 五、移民工作： 1、搞好移民维稳工作。 2、协助完成了田庄湾村等8个村的移民基础设施建设及移民生产开发项目建设，共计投入资金170余万。 3、搞好移民信息采集与核减工作。 六、宅基地工作： 1、在农村宅基地管理、利用以及农村宅基地制度改革试点工作方面，没有存在违背农民意愿强迫农民“上楼”居住情况；不存在违法收回农户合法取得的宅基地情况；不存在停止审批农村宅基地情况。建立了农村宅基地联审联办机制,及时为农民提供便捷高效的“一站式”服务。 2、我镇针对宅基地管理先后开展了布署会、动员会、培训会,利用宣传车下村宣传等相关活动。今年以来制作悬挂宣传横幅20条，发放建房宣传手册400本。 3、组织召开好每月农村宅基地联审联办联席会议，规范农村宅基地审批，保障农民宅基地合法权益。全年共受理了112宗建房申请,开了4次例会,核发了符合条件的106本农村宅基地批准证书，涉及批准宅基地占地面积19080平方米，房屋建筑总面积31860平方米。 4、会同资源办、执法大队，加强农村宅基地日常执法监察工作，及时发现和处置涉及宅基地使用和建房规划的各类违法违规行，配合执法大队巡查40余次，全年没有发生一起违规违建问题。 5、认真填报好湖南省农村宅基地管理信息直报系统，及时搞好数据的更新。 七、农机工作： 1、以“平安农机”创建工作为切入点，深入全镇村、组深入学校、深入集市广泛开展农业机械安全生产宣传活动。采用宣传车、悬挂横幅标语、上门入户发放宣传资料、培训等形式进行广泛宣传。累计出动宣传车200余次，悬挂横幅张贴标语100多条、发放资料3000多份、展出安全教育警示牌6场次，组织农机安全生产培训40次，全面提高了全镇农民和农机手的安全生产意识和守法经营意识。 2、农机安全生产培训学习。我镇现有农机现代合作社5家，其中湖南省现代示范合作社有3家。为切实提高我镇农机安全生产，我镇组织农机安全生产培训10次，达到合格年检拖拉机为102台。同时，在全镇发放安全生产宣传手册1000本。 3、排查整治和迎检。完成了59台农业机械的农机购置补贴的核查及补贴金额636900元。完成了变型拖拉机的注销报废全部清零，全镇共有盘式拖拉机187台，其中注销87台，收割机40台，完成了全镇农业机械年检80台，联合交警、交通、农业执法大队开展四次以上安全隐患的清查及顽瘴痼疾的整治。我镇农机顽瘴痼疾变形拖拉机全面清零至今无安全生产事故发生，大型拖拉机和收割机正在注销报废中。 </w:t>
            </w:r>
          </w:p>
          <w:p w14:paraId="3AB254A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286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CE27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4D920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625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4F01E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B9846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D7B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8F02BE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D4845B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D7294E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47D741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55F5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9</Pages>
  <Words>3469</Words>
  <Characters>3641</Characters>
  <Lines>4</Lines>
  <Paragraphs>1</Paragraphs>
  <TotalTime>45456.3437500016</TotalTime>
  <ScaleCrop>false</ScaleCrop>
  <LinksUpToDate>false</LinksUpToDate>
  <CharactersWithSpaces>3716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2024-06-13T00:53:27Z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C399662344774AD9945AB8154D936A96_13</vt:lpwstr>
  </property>
</Properties>
</file>