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235DC3">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BBFA5C6">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12430922792363917E</w:t>
      </w:r>
      <w:r>
        <w:rPr>
          <w:rFonts w:eastAsia="楷体_GB2312"/>
          <w:b/>
          <w:bCs/>
          <w:sz w:val="30"/>
          <w:szCs w:val="24"/>
          <w:lang w:val="en-US"/>
        </w:rPr>
        <w:t xml:space="preserve">   </w:t>
      </w:r>
    </w:p>
    <w:p w14:paraId="74FE61FB">
      <w:pPr>
        <w:jc w:val="right"/>
        <w:rPr>
          <w:lang w:val="en-US"/>
        </w:rPr>
      </w:pPr>
    </w:p>
    <w:p w14:paraId="3C6D5D9C">
      <w:pPr>
        <w:jc w:val="right"/>
        <w:rPr>
          <w:lang w:val="en-US"/>
        </w:rPr>
      </w:pPr>
    </w:p>
    <w:p w14:paraId="79B0BB2F">
      <w:pPr>
        <w:jc w:val="right"/>
        <w:rPr>
          <w:lang w:val="en-US"/>
        </w:rPr>
      </w:pPr>
    </w:p>
    <w:p w14:paraId="4D25B2E2">
      <w:pPr>
        <w:jc w:val="right"/>
        <w:rPr>
          <w:lang w:val="en-US"/>
        </w:rPr>
      </w:pPr>
    </w:p>
    <w:p w14:paraId="6BB4EB15">
      <w:pPr>
        <w:jc w:val="right"/>
        <w:rPr>
          <w:lang w:val="en-US"/>
        </w:rPr>
      </w:pPr>
    </w:p>
    <w:p w14:paraId="0730473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0F2008A">
      <w:pPr>
        <w:jc w:val="center"/>
        <w:rPr>
          <w:rFonts w:eastAsia="黑体"/>
          <w:b/>
          <w:bCs/>
          <w:spacing w:val="30"/>
          <w:lang w:val="en-US"/>
        </w:rPr>
      </w:pPr>
    </w:p>
    <w:p w14:paraId="299231E5">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82703FC">
      <w:pPr>
        <w:jc w:val="center"/>
        <w:rPr>
          <w:sz w:val="36"/>
          <w:szCs w:val="24"/>
          <w:lang w:val="en-US"/>
        </w:rPr>
      </w:pPr>
    </w:p>
    <w:p w14:paraId="52C8C713">
      <w:pPr>
        <w:jc w:val="center"/>
        <w:rPr>
          <w:sz w:val="36"/>
          <w:szCs w:val="24"/>
          <w:lang w:val="en-US"/>
        </w:rPr>
      </w:pPr>
    </w:p>
    <w:p w14:paraId="35DA0451">
      <w:pPr>
        <w:jc w:val="center"/>
        <w:rPr>
          <w:sz w:val="36"/>
          <w:szCs w:val="24"/>
          <w:lang w:val="en-US"/>
        </w:rPr>
      </w:pPr>
    </w:p>
    <w:p w14:paraId="200598C2">
      <w:pPr>
        <w:jc w:val="center"/>
        <w:rPr>
          <w:sz w:val="36"/>
          <w:szCs w:val="24"/>
          <w:lang w:val="en-US"/>
        </w:rPr>
      </w:pPr>
    </w:p>
    <w:p w14:paraId="0EBDB913">
      <w:pPr>
        <w:jc w:val="center"/>
        <w:rPr>
          <w:sz w:val="36"/>
          <w:szCs w:val="24"/>
          <w:lang w:val="en-US"/>
        </w:rPr>
      </w:pPr>
    </w:p>
    <w:p w14:paraId="1487637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464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1C86B48">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A38A526">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桃江县水文局</w:t>
            </w:r>
          </w:p>
        </w:tc>
      </w:tr>
    </w:tbl>
    <w:p w14:paraId="068DE4C4">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E28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CE26D9A">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0911973">
            <w:pPr>
              <w:keepNext w:val="0"/>
              <w:keepLines w:val="0"/>
              <w:widowControl/>
              <w:suppressLineNumbers w:val="0"/>
              <w:jc w:val="left"/>
              <w:rPr>
                <w:kern w:val="0"/>
                <w:sz w:val="20"/>
                <w:szCs w:val="20"/>
                <w:bdr w:val="none" w:color="auto" w:sz="0" w:space="0"/>
                <w:lang w:val="en-US"/>
              </w:rPr>
            </w:pPr>
          </w:p>
        </w:tc>
      </w:tr>
    </w:tbl>
    <w:p w14:paraId="690CABAF">
      <w:pPr>
        <w:ind w:left="0" w:firstLine="723" w:firstLineChars="300"/>
        <w:rPr>
          <w:rFonts w:hint="eastAsia" w:ascii="黑体" w:hAnsi="宋体" w:eastAsia="黑体" w:cs="黑体"/>
          <w:b/>
          <w:bCs/>
          <w:sz w:val="24"/>
          <w:szCs w:val="24"/>
          <w:u w:val="single"/>
          <w:lang w:val="en-US"/>
        </w:rPr>
      </w:pPr>
    </w:p>
    <w:p w14:paraId="15FBD9A8">
      <w:pPr>
        <w:jc w:val="center"/>
        <w:rPr>
          <w:rFonts w:hint="eastAsia" w:ascii="黑体" w:hAnsi="宋体" w:eastAsia="黑体" w:cs="黑体"/>
          <w:b/>
          <w:bCs/>
          <w:sz w:val="30"/>
          <w:szCs w:val="24"/>
          <w:u w:val="single"/>
          <w:lang w:val="en-US"/>
        </w:rPr>
      </w:pPr>
    </w:p>
    <w:p w14:paraId="777CCB15">
      <w:pPr>
        <w:jc w:val="center"/>
        <w:rPr>
          <w:rFonts w:hint="eastAsia" w:ascii="黑体" w:hAnsi="宋体" w:eastAsia="黑体" w:cs="黑体"/>
          <w:b/>
          <w:bCs/>
          <w:sz w:val="30"/>
          <w:szCs w:val="24"/>
          <w:u w:val="single"/>
          <w:lang w:val="en-US"/>
        </w:rPr>
      </w:pPr>
    </w:p>
    <w:p w14:paraId="447149D8">
      <w:pPr>
        <w:jc w:val="center"/>
        <w:rPr>
          <w:u w:val="single"/>
          <w:lang w:val="en-US"/>
        </w:rPr>
      </w:pPr>
    </w:p>
    <w:p w14:paraId="4249F5A7">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08419E5">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17C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6CB16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4733F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55AB5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77968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B1C3E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4CED61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C6D52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70B068E">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桃江县水文局</w:t>
            </w:r>
          </w:p>
        </w:tc>
      </w:tr>
      <w:tr w14:paraId="3C4F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581B74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8F972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7066DD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1657571">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为国家建设提供水文服务 水文资料收集、汇总、提供、上报；水文、水资源实时信息提供；取水许可、水资源费征收等工作参与；人畜饮水安全等工程中的水质、水量检测分析和评价；县域内工程项目水资源论证、防洪评价、水土保持方案编制与监测等工作参与；特大雨情、旱情和突发性水污染事件报告</w:t>
            </w:r>
          </w:p>
        </w:tc>
      </w:tr>
      <w:tr w14:paraId="3C4B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2680DE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0D06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C2D1560">
            <w:pPr>
              <w:jc w:val="left"/>
            </w:pPr>
            <w:r>
              <w:rPr>
                <w:rStyle w:val="20"/>
                <w:rFonts w:hint="eastAsia" w:ascii="楷体_GB2312" w:eastAsia="楷体_GB2312" w:cs="楷体_GB2312"/>
                <w:sz w:val="28"/>
                <w:szCs w:val="28"/>
                <w:bdr w:val="none" w:color="auto" w:sz="0" w:space="0"/>
                <w:lang w:val="en-US"/>
              </w:rPr>
              <w:t>桃江县桃花江镇向阳村</w:t>
            </w:r>
          </w:p>
        </w:tc>
      </w:tr>
      <w:tr w14:paraId="16E7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7CC802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2CAC0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E836416">
            <w:pPr>
              <w:jc w:val="left"/>
            </w:pPr>
            <w:r>
              <w:rPr>
                <w:rStyle w:val="20"/>
                <w:rFonts w:hint="eastAsia" w:ascii="楷体_GB2312" w:eastAsia="楷体_GB2312" w:cs="楷体_GB2312"/>
                <w:sz w:val="28"/>
                <w:szCs w:val="28"/>
                <w:bdr w:val="none" w:color="auto" w:sz="0" w:space="0"/>
                <w:lang w:val="en-US"/>
              </w:rPr>
              <w:t>夏雷</w:t>
            </w:r>
          </w:p>
        </w:tc>
      </w:tr>
      <w:tr w14:paraId="6482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1CE443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512DC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FDEA5BA">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240</w:t>
            </w:r>
            <w:r>
              <w:rPr>
                <w:rStyle w:val="20"/>
                <w:rFonts w:hint="eastAsia" w:ascii="楷体_GB2312" w:eastAsia="楷体_GB2312" w:cs="楷体_GB2312"/>
                <w:sz w:val="28"/>
                <w:szCs w:val="28"/>
                <w:bdr w:val="none" w:color="auto" w:sz="0" w:space="0"/>
              </w:rPr>
              <w:t>（万元）</w:t>
            </w:r>
          </w:p>
        </w:tc>
      </w:tr>
      <w:tr w14:paraId="594F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9156F6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52188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77E56EF">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4876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AB9F95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FFD49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B1F8957">
            <w:pPr>
              <w:jc w:val="left"/>
            </w:pPr>
            <w:r>
              <w:rPr>
                <w:rStyle w:val="20"/>
                <w:rFonts w:hint="eastAsia" w:ascii="楷体_GB2312" w:eastAsia="楷体_GB2312" w:cs="楷体_GB2312"/>
                <w:sz w:val="28"/>
                <w:szCs w:val="28"/>
                <w:bdr w:val="none" w:color="auto" w:sz="0" w:space="0"/>
                <w:lang w:val="en-US"/>
              </w:rPr>
              <w:t>湖南省益阳水文水资源勘测中心</w:t>
            </w:r>
          </w:p>
        </w:tc>
      </w:tr>
      <w:tr w14:paraId="3AB7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45148D5">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DEAAB3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AEA3361">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42C184B">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1944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BDE2D0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7EF19A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72F7E69">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1B7A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28712D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4BF9ACF">
            <w:pPr>
              <w:jc w:val="center"/>
              <w:rPr>
                <w:sz w:val="32"/>
                <w:szCs w:val="24"/>
                <w:bdr w:val="none" w:color="auto" w:sz="0" w:space="0"/>
                <w:lang w:val="en-US"/>
              </w:rPr>
            </w:pPr>
            <w:r>
              <w:rPr>
                <w:rStyle w:val="19"/>
                <w:sz w:val="32"/>
                <w:szCs w:val="24"/>
                <w:bdr w:val="none" w:color="auto" w:sz="0" w:space="0"/>
                <w:lang w:val="en-US"/>
              </w:rPr>
              <w:t>125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09A8FF5">
            <w:pPr>
              <w:jc w:val="center"/>
            </w:pPr>
            <w:r>
              <w:rPr>
                <w:rStyle w:val="20"/>
                <w:sz w:val="32"/>
                <w:szCs w:val="32"/>
                <w:bdr w:val="none" w:color="auto" w:sz="0" w:space="0"/>
                <w:lang w:val="en-US"/>
              </w:rPr>
              <w:t>125</w:t>
            </w:r>
          </w:p>
        </w:tc>
      </w:tr>
      <w:tr w14:paraId="2004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8C6469E">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A62B33A">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桃江县水文局</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66CC5F5">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280069C">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8</w:t>
            </w:r>
          </w:p>
        </w:tc>
      </w:tr>
      <w:tr w14:paraId="257F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A157E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76401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D3E7F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24DAB7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AFC021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D5130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F9F69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61B2F0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DBF5F5D">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2023年无变更登记事项。</w:t>
            </w:r>
          </w:p>
        </w:tc>
      </w:tr>
      <w:tr w14:paraId="7BA2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6F514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14483A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64496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D1EF1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0163CC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C13F7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1C9CC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66D937C">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18A320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1.按照省、市水文局的工作安排和部署，全面完成各项工作。 2 . 开展的具体业务活动有： （1） 完成汛前准备工作。 （2） 勘测工作。 （3） 水情情报及预报。 （4） 水质监测及水资源公报。 （5） 完成中小河流水文监测系统年度建设任务。 （6） 全局所有水文（水位）站和委托雨量站按测站任务书的要求完成测报任务和水文资料整编任务。 （7） 2023年在资水桃江、修山水库、马迹塘水库段取样并进行水质分析。 3．取得的主要社会效益和经济效益： （1）收集、分析、计算了全县的降雨量、河道水位、水资源总量和水质监测分析等。 （2）经济建设所需的基础数据。 （3）为县防指防汛抗旱提供了实时的雨水情信息。 （4）全年共进行了16站的年降水量整编、2站年流量资料整编、5站年水位资料整编、1站年水质分析整编。 </w:t>
            </w:r>
          </w:p>
          <w:p w14:paraId="64F5DF6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11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84EE7AE">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3696AC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753F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57C33DB">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E6A8A5B">
            <w:pPr>
              <w:jc w:val="left"/>
            </w:pPr>
            <w:r>
              <w:rPr>
                <w:rStyle w:val="20"/>
                <w:rFonts w:hint="eastAsia" w:ascii="楷体_GB2312" w:eastAsia="楷体_GB2312" w:cs="楷体_GB2312"/>
                <w:sz w:val="28"/>
                <w:szCs w:val="28"/>
                <w:bdr w:val="none" w:color="auto" w:sz="0" w:space="0"/>
                <w:lang w:val="en-US"/>
              </w:rPr>
              <w:t>无</w:t>
            </w:r>
          </w:p>
        </w:tc>
      </w:tr>
      <w:tr w14:paraId="3A85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8A3BA5B">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D40D406">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E15C280">
            <w:pPr>
              <w:jc w:val="left"/>
            </w:pPr>
            <w:r>
              <w:rPr>
                <w:rStyle w:val="20"/>
                <w:rFonts w:hint="eastAsia" w:ascii="楷体_GB2312" w:eastAsia="楷体_GB2312" w:cs="楷体_GB2312"/>
                <w:sz w:val="28"/>
                <w:szCs w:val="28"/>
                <w:bdr w:val="none" w:color="auto" w:sz="0" w:space="0"/>
                <w:lang w:val="en-US"/>
              </w:rPr>
              <w:t>无</w:t>
            </w:r>
          </w:p>
        </w:tc>
      </w:tr>
    </w:tbl>
    <w:p w14:paraId="6F1E7807">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4942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hps"/>
    <w:basedOn w:val="13"/>
    <w:uiPriority w:val="0"/>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759</Words>
  <Characters>808</Characters>
  <Lines>4</Lines>
  <Paragraphs>1</Paragraphs>
  <TotalTime>45456.4687500016</TotalTime>
  <ScaleCrop>false</ScaleCrop>
  <LinksUpToDate>false</LinksUpToDate>
  <CharactersWithSpaces>867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2024-06-13T03:49:42Z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9A4F197211434183AAFA46B752A69A3C_13</vt:lpwstr>
  </property>
</Properties>
</file>