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EB297D">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169D755">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12430922MB1B591945</w:t>
      </w:r>
      <w:r>
        <w:rPr>
          <w:rFonts w:eastAsia="楷体_GB2312"/>
          <w:b/>
          <w:bCs/>
          <w:sz w:val="30"/>
          <w:szCs w:val="24"/>
          <w:lang w:val="en-US"/>
        </w:rPr>
        <w:t xml:space="preserve">   </w:t>
      </w:r>
    </w:p>
    <w:p w14:paraId="57B8D356">
      <w:pPr>
        <w:jc w:val="right"/>
        <w:rPr>
          <w:lang w:val="en-US"/>
        </w:rPr>
      </w:pPr>
    </w:p>
    <w:p w14:paraId="030B1C56">
      <w:pPr>
        <w:jc w:val="right"/>
        <w:rPr>
          <w:lang w:val="en-US"/>
        </w:rPr>
      </w:pPr>
    </w:p>
    <w:p w14:paraId="03F48246">
      <w:pPr>
        <w:jc w:val="right"/>
        <w:rPr>
          <w:lang w:val="en-US"/>
        </w:rPr>
      </w:pPr>
    </w:p>
    <w:p w14:paraId="78A9F6AB">
      <w:pPr>
        <w:jc w:val="right"/>
        <w:rPr>
          <w:lang w:val="en-US"/>
        </w:rPr>
      </w:pPr>
    </w:p>
    <w:p w14:paraId="58C53B6C">
      <w:pPr>
        <w:jc w:val="right"/>
        <w:rPr>
          <w:lang w:val="en-US"/>
        </w:rPr>
      </w:pPr>
    </w:p>
    <w:p w14:paraId="49E1075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AED9FDD">
      <w:pPr>
        <w:jc w:val="center"/>
        <w:rPr>
          <w:rFonts w:eastAsia="黑体"/>
          <w:b/>
          <w:bCs/>
          <w:spacing w:val="30"/>
          <w:lang w:val="en-US"/>
        </w:rPr>
      </w:pPr>
    </w:p>
    <w:p w14:paraId="6B231FA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460267D">
      <w:pPr>
        <w:jc w:val="center"/>
        <w:rPr>
          <w:sz w:val="36"/>
          <w:szCs w:val="24"/>
          <w:lang w:val="en-US"/>
        </w:rPr>
      </w:pPr>
    </w:p>
    <w:p w14:paraId="3552E235">
      <w:pPr>
        <w:jc w:val="center"/>
        <w:rPr>
          <w:sz w:val="36"/>
          <w:szCs w:val="24"/>
          <w:lang w:val="en-US"/>
        </w:rPr>
      </w:pPr>
    </w:p>
    <w:p w14:paraId="32B324CA">
      <w:pPr>
        <w:jc w:val="center"/>
        <w:rPr>
          <w:sz w:val="36"/>
          <w:szCs w:val="24"/>
          <w:lang w:val="en-US"/>
        </w:rPr>
      </w:pPr>
    </w:p>
    <w:p w14:paraId="6A913A77">
      <w:pPr>
        <w:jc w:val="center"/>
        <w:rPr>
          <w:sz w:val="36"/>
          <w:szCs w:val="24"/>
          <w:lang w:val="en-US"/>
        </w:rPr>
      </w:pPr>
    </w:p>
    <w:p w14:paraId="782959E4">
      <w:pPr>
        <w:jc w:val="center"/>
        <w:rPr>
          <w:sz w:val="36"/>
          <w:szCs w:val="24"/>
          <w:lang w:val="en-US"/>
        </w:rPr>
      </w:pPr>
    </w:p>
    <w:p w14:paraId="1DBB0BE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F40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34F6AB4">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066C8EB">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桃江县松木塘镇社会事务综合服务中心</w:t>
            </w:r>
          </w:p>
        </w:tc>
      </w:tr>
    </w:tbl>
    <w:p w14:paraId="60833EE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18F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7DD08D5">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DD75B65">
            <w:pPr>
              <w:keepNext w:val="0"/>
              <w:keepLines w:val="0"/>
              <w:widowControl/>
              <w:suppressLineNumbers w:val="0"/>
              <w:jc w:val="left"/>
              <w:rPr>
                <w:kern w:val="0"/>
                <w:sz w:val="20"/>
                <w:szCs w:val="20"/>
                <w:bdr w:val="none" w:color="auto" w:sz="0" w:space="0"/>
                <w:lang w:val="en-US"/>
              </w:rPr>
            </w:pPr>
          </w:p>
        </w:tc>
      </w:tr>
    </w:tbl>
    <w:p w14:paraId="7551EED2">
      <w:pPr>
        <w:ind w:left="0" w:firstLine="723" w:firstLineChars="300"/>
        <w:rPr>
          <w:rFonts w:hint="eastAsia" w:ascii="黑体" w:hAnsi="宋体" w:eastAsia="黑体" w:cs="黑体"/>
          <w:b/>
          <w:bCs/>
          <w:sz w:val="24"/>
          <w:szCs w:val="24"/>
          <w:u w:val="single"/>
          <w:lang w:val="en-US"/>
        </w:rPr>
      </w:pPr>
    </w:p>
    <w:p w14:paraId="059B3965">
      <w:pPr>
        <w:jc w:val="center"/>
        <w:rPr>
          <w:rFonts w:hint="eastAsia" w:ascii="黑体" w:hAnsi="宋体" w:eastAsia="黑体" w:cs="黑体"/>
          <w:b/>
          <w:bCs/>
          <w:sz w:val="30"/>
          <w:szCs w:val="24"/>
          <w:u w:val="single"/>
          <w:lang w:val="en-US"/>
        </w:rPr>
      </w:pPr>
    </w:p>
    <w:p w14:paraId="53735351">
      <w:pPr>
        <w:jc w:val="center"/>
        <w:rPr>
          <w:rFonts w:hint="eastAsia" w:ascii="黑体" w:hAnsi="宋体" w:eastAsia="黑体" w:cs="黑体"/>
          <w:b/>
          <w:bCs/>
          <w:sz w:val="30"/>
          <w:szCs w:val="24"/>
          <w:u w:val="single"/>
          <w:lang w:val="en-US"/>
        </w:rPr>
      </w:pPr>
    </w:p>
    <w:p w14:paraId="56497BFE">
      <w:pPr>
        <w:jc w:val="center"/>
        <w:rPr>
          <w:u w:val="single"/>
          <w:lang w:val="en-US"/>
        </w:rPr>
      </w:pPr>
    </w:p>
    <w:p w14:paraId="4D90AB7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A32B75E">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C0D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CE7A4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96A43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102B9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9340D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0CEA4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13AA70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583E3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8E73BEA">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桃江县松木塘镇社会事务综合服务中心</w:t>
            </w:r>
          </w:p>
        </w:tc>
      </w:tr>
      <w:tr w14:paraId="43C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52BB92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F856A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49BD8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7DA969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协助社会事务办公室的工作，具体负责承办人力资源与社会保障、民政、社会救助、社区建设、医疗保障、卫生健康与计划生育、文化旅游广电体育、民族宗教、侨务等方面的公益服务性、技术性工作。承办党委、政府和上级业务部门交办的其他事项。</w:t>
            </w:r>
          </w:p>
        </w:tc>
      </w:tr>
      <w:tr w14:paraId="1658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901BE9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B1D3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BBDB66">
            <w:pPr>
              <w:jc w:val="left"/>
            </w:pPr>
            <w:r>
              <w:rPr>
                <w:rStyle w:val="20"/>
                <w:rFonts w:hint="eastAsia" w:ascii="楷体_GB2312" w:eastAsia="楷体_GB2312" w:cs="楷体_GB2312"/>
                <w:sz w:val="28"/>
                <w:szCs w:val="28"/>
                <w:bdr w:val="none" w:color="auto" w:sz="0" w:space="0"/>
                <w:lang w:val="en-US"/>
              </w:rPr>
              <w:t>桃江县松木塘镇人民政府机关院内</w:t>
            </w:r>
          </w:p>
        </w:tc>
      </w:tr>
      <w:tr w14:paraId="4DB6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DB8E3A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46CB03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AB4FEC">
            <w:pPr>
              <w:jc w:val="left"/>
            </w:pPr>
            <w:r>
              <w:rPr>
                <w:rStyle w:val="20"/>
                <w:rFonts w:hint="eastAsia" w:ascii="楷体_GB2312" w:eastAsia="楷体_GB2312" w:cs="楷体_GB2312"/>
                <w:sz w:val="28"/>
                <w:szCs w:val="28"/>
                <w:bdr w:val="none" w:color="auto" w:sz="0" w:space="0"/>
                <w:lang w:val="en-US"/>
              </w:rPr>
              <w:t>胡喜荣</w:t>
            </w:r>
          </w:p>
        </w:tc>
      </w:tr>
      <w:tr w14:paraId="67A1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D02982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6CC1E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87D9C66">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407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B3D69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C02C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DE981EB">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1759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41B11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8464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626EBF9">
            <w:pPr>
              <w:jc w:val="left"/>
            </w:pPr>
            <w:r>
              <w:rPr>
                <w:rStyle w:val="20"/>
                <w:rFonts w:hint="eastAsia" w:ascii="楷体_GB2312" w:eastAsia="楷体_GB2312" w:cs="楷体_GB2312"/>
                <w:sz w:val="28"/>
                <w:szCs w:val="28"/>
                <w:bdr w:val="none" w:color="auto" w:sz="0" w:space="0"/>
                <w:lang w:val="en-US"/>
              </w:rPr>
              <w:t>桃江县松木塘镇人民政府</w:t>
            </w:r>
          </w:p>
        </w:tc>
      </w:tr>
      <w:tr w14:paraId="0811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688B6D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6130ED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CABD43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E4B6EF2">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0373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EE8143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8CCFDF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4B9FB2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4DE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56C5A8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0EB2FF4">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0E23423">
            <w:pPr>
              <w:jc w:val="center"/>
            </w:pPr>
            <w:r>
              <w:rPr>
                <w:rStyle w:val="20"/>
                <w:sz w:val="32"/>
                <w:szCs w:val="32"/>
                <w:bdr w:val="none" w:color="auto" w:sz="0" w:space="0"/>
                <w:lang w:val="en-US"/>
              </w:rPr>
              <w:t>1</w:t>
            </w:r>
          </w:p>
        </w:tc>
      </w:tr>
      <w:tr w14:paraId="4BB4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22C868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A6E97A8">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桃江县松木塘镇社会事务综合服务中心.公益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37CB8B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2329C36">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9</w:t>
            </w:r>
          </w:p>
        </w:tc>
      </w:tr>
      <w:tr w14:paraId="58A9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4DB95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98CAE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1DD6D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73921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7910C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F36BA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901C8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AB8D4D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D125EB5">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4CCF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C7B36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10A1D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0586C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60B7A9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01F18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A3A79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6AFD2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A6F9B7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B25E7C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1.&amp;#160;食品安全 联合市监所每月定时开展校园周边环境整治行动，杜绝学校门口流动摊贩的出现、校园周边无证经营的小商店等食品安全隐患，切实保障了学校食品安全 2.&amp;#160;校园安全 积极联系学校、镇综治办、镇司法所，不定期的进学校开展防诈骗、防性侵、防校园霸凌以及禁毒等知识的讲座。加强宣传力度，提升学生自我保护意识，保护未成年人健康成长。 3.&amp;#160;校车安全 积极联系分管领导，切实守护好安全底线，每月邀请分管领导以及主要领导对辖区内校车进行安全检查，对司机以及照管员组织开会，提高其认识，加深其安全责任意识，切实压实责任。联合交警队在上下学必经之路开展行动，杜绝私家车营运接送学生上下学的情况出现，保障学生上下学的安全性。 4.&amp;#160;校园周边环境治理 联合综治办、执法大队、市监所以及各村社区，对辖区内校园周边环境每周固定一次进行整治治理，包括周边卫生环境，周边商店、饭店、小吃零食店开展卫生情况检查以及营业执照跟经营人员健康证有效期检查，确保食品以及环境的安全性，从源头开始保障安全问题。 </w:t>
            </w:r>
          </w:p>
          <w:p w14:paraId="2B1B0DF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718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AC2F02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91BC175">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78EB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989F88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BEB8BA8">
            <w:pPr>
              <w:jc w:val="left"/>
            </w:pPr>
            <w:r>
              <w:rPr>
                <w:rStyle w:val="20"/>
                <w:rFonts w:hint="eastAsia" w:ascii="楷体_GB2312" w:eastAsia="楷体_GB2312" w:cs="楷体_GB2312"/>
                <w:sz w:val="28"/>
                <w:szCs w:val="28"/>
                <w:bdr w:val="none" w:color="auto" w:sz="0" w:space="0"/>
                <w:lang w:val="en-US"/>
              </w:rPr>
              <w:t>无</w:t>
            </w:r>
          </w:p>
        </w:tc>
      </w:tr>
      <w:tr w14:paraId="12F6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CF5030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2C5A77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740952A">
            <w:pPr>
              <w:jc w:val="left"/>
            </w:pPr>
            <w:r>
              <w:rPr>
                <w:rStyle w:val="20"/>
                <w:rFonts w:hint="eastAsia" w:ascii="楷体_GB2312" w:eastAsia="楷体_GB2312" w:cs="楷体_GB2312"/>
                <w:sz w:val="28"/>
                <w:szCs w:val="28"/>
                <w:bdr w:val="none" w:color="auto" w:sz="0" w:space="0"/>
                <w:lang w:val="en-US"/>
              </w:rPr>
              <w:t>无</w:t>
            </w:r>
          </w:p>
        </w:tc>
      </w:tr>
    </w:tbl>
    <w:p w14:paraId="41C63ABD">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D443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861</Words>
  <Characters>924</Characters>
  <Lines>4</Lines>
  <Paragraphs>1</Paragraphs>
  <TotalTime>45456.3437500016</TotalTime>
  <ScaleCrop>false</ScaleCrop>
  <LinksUpToDate>false</LinksUpToDate>
  <CharactersWithSpaces>967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2024-06-13T00:52:49Z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0FD24354D98C4CE49D552B713F28BF1C_13</vt:lpwstr>
  </property>
</Properties>
</file>