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4C3238">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6F77BDC">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12430922355599999H</w:t>
      </w:r>
      <w:r>
        <w:rPr>
          <w:rFonts w:eastAsia="楷体_GB2312"/>
          <w:b/>
          <w:bCs/>
          <w:sz w:val="30"/>
          <w:szCs w:val="24"/>
          <w:lang w:val="en-US"/>
        </w:rPr>
        <w:t xml:space="preserve">   </w:t>
      </w:r>
    </w:p>
    <w:p w14:paraId="33F94CCC">
      <w:pPr>
        <w:jc w:val="right"/>
        <w:rPr>
          <w:lang w:val="en-US"/>
        </w:rPr>
      </w:pPr>
    </w:p>
    <w:p w14:paraId="446B2D00">
      <w:pPr>
        <w:jc w:val="right"/>
        <w:rPr>
          <w:lang w:val="en-US"/>
        </w:rPr>
      </w:pPr>
    </w:p>
    <w:p w14:paraId="026691E7">
      <w:pPr>
        <w:jc w:val="right"/>
        <w:rPr>
          <w:lang w:val="en-US"/>
        </w:rPr>
      </w:pPr>
    </w:p>
    <w:p w14:paraId="26F709E6">
      <w:pPr>
        <w:jc w:val="right"/>
        <w:rPr>
          <w:lang w:val="en-US"/>
        </w:rPr>
      </w:pPr>
    </w:p>
    <w:p w14:paraId="0BEDC2DE">
      <w:pPr>
        <w:jc w:val="right"/>
        <w:rPr>
          <w:lang w:val="en-US"/>
        </w:rPr>
      </w:pPr>
    </w:p>
    <w:p w14:paraId="46B68DD7">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F4046C5">
      <w:pPr>
        <w:jc w:val="center"/>
        <w:rPr>
          <w:rFonts w:eastAsia="黑体"/>
          <w:b/>
          <w:bCs/>
          <w:spacing w:val="30"/>
          <w:lang w:val="en-US"/>
        </w:rPr>
      </w:pPr>
    </w:p>
    <w:p w14:paraId="4BCB796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283DF7A">
      <w:pPr>
        <w:jc w:val="center"/>
        <w:rPr>
          <w:sz w:val="36"/>
          <w:szCs w:val="24"/>
          <w:lang w:val="en-US"/>
        </w:rPr>
      </w:pPr>
    </w:p>
    <w:p w14:paraId="0C6627D9">
      <w:pPr>
        <w:jc w:val="center"/>
        <w:rPr>
          <w:sz w:val="36"/>
          <w:szCs w:val="24"/>
          <w:lang w:val="en-US"/>
        </w:rPr>
      </w:pPr>
    </w:p>
    <w:p w14:paraId="168AE963">
      <w:pPr>
        <w:jc w:val="center"/>
        <w:rPr>
          <w:sz w:val="36"/>
          <w:szCs w:val="24"/>
          <w:lang w:val="en-US"/>
        </w:rPr>
      </w:pPr>
    </w:p>
    <w:p w14:paraId="45436560">
      <w:pPr>
        <w:jc w:val="center"/>
        <w:rPr>
          <w:sz w:val="36"/>
          <w:szCs w:val="24"/>
          <w:lang w:val="en-US"/>
        </w:rPr>
      </w:pPr>
    </w:p>
    <w:p w14:paraId="129FA79A">
      <w:pPr>
        <w:jc w:val="center"/>
        <w:rPr>
          <w:sz w:val="36"/>
          <w:szCs w:val="24"/>
          <w:lang w:val="en-US"/>
        </w:rPr>
      </w:pPr>
    </w:p>
    <w:p w14:paraId="2E70B3B9">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350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3D7753D">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AA525D0">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桃江县水利工程质量安全监督站</w:t>
            </w:r>
          </w:p>
        </w:tc>
      </w:tr>
    </w:tbl>
    <w:p w14:paraId="4DE5D29F">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592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7048125">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2F205886">
            <w:pPr>
              <w:keepNext w:val="0"/>
              <w:keepLines w:val="0"/>
              <w:widowControl/>
              <w:suppressLineNumbers w:val="0"/>
              <w:jc w:val="left"/>
              <w:rPr>
                <w:kern w:val="0"/>
                <w:sz w:val="20"/>
                <w:szCs w:val="20"/>
                <w:bdr w:val="none" w:color="auto" w:sz="0" w:space="0"/>
                <w:lang w:val="en-US"/>
              </w:rPr>
            </w:pPr>
          </w:p>
        </w:tc>
      </w:tr>
    </w:tbl>
    <w:p w14:paraId="3085C0FF">
      <w:pPr>
        <w:ind w:left="0" w:firstLine="723" w:firstLineChars="300"/>
        <w:rPr>
          <w:rFonts w:hint="eastAsia" w:ascii="黑体" w:hAnsi="宋体" w:eastAsia="黑体" w:cs="黑体"/>
          <w:b/>
          <w:bCs/>
          <w:sz w:val="24"/>
          <w:szCs w:val="24"/>
          <w:u w:val="single"/>
          <w:lang w:val="en-US"/>
        </w:rPr>
      </w:pPr>
    </w:p>
    <w:p w14:paraId="0026815F">
      <w:pPr>
        <w:jc w:val="center"/>
        <w:rPr>
          <w:rFonts w:hint="eastAsia" w:ascii="黑体" w:hAnsi="宋体" w:eastAsia="黑体" w:cs="黑体"/>
          <w:b/>
          <w:bCs/>
          <w:sz w:val="30"/>
          <w:szCs w:val="24"/>
          <w:u w:val="single"/>
          <w:lang w:val="en-US"/>
        </w:rPr>
      </w:pPr>
    </w:p>
    <w:p w14:paraId="7DE4DBB1">
      <w:pPr>
        <w:jc w:val="center"/>
        <w:rPr>
          <w:rFonts w:hint="eastAsia" w:ascii="黑体" w:hAnsi="宋体" w:eastAsia="黑体" w:cs="黑体"/>
          <w:b/>
          <w:bCs/>
          <w:sz w:val="30"/>
          <w:szCs w:val="24"/>
          <w:u w:val="single"/>
          <w:lang w:val="en-US"/>
        </w:rPr>
      </w:pPr>
    </w:p>
    <w:p w14:paraId="438FDA2B">
      <w:pPr>
        <w:jc w:val="center"/>
        <w:rPr>
          <w:u w:val="single"/>
          <w:lang w:val="en-US"/>
        </w:rPr>
      </w:pPr>
    </w:p>
    <w:p w14:paraId="11BF15BA">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EC9B378">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B18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07F255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EF71D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2866F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B75F10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F37F0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A3C047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65DC0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DB0C7CE">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桃江县水利工程质量安全监督站（桃江县水质检测中心）</w:t>
            </w:r>
          </w:p>
        </w:tc>
      </w:tr>
      <w:tr w14:paraId="08D5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B93D2E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56A9C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1935C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7D87237">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为水利工程建设和水质检测提供管理保障。水利工程建设质量安全监督 水质检测</w:t>
            </w:r>
          </w:p>
        </w:tc>
      </w:tr>
      <w:tr w14:paraId="383E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E77C01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8D57A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D8A1765">
            <w:pPr>
              <w:jc w:val="left"/>
            </w:pPr>
            <w:r>
              <w:rPr>
                <w:rStyle w:val="19"/>
                <w:rFonts w:hint="eastAsia" w:ascii="楷体_GB2312" w:eastAsia="楷体_GB2312" w:cs="楷体_GB2312"/>
                <w:sz w:val="28"/>
                <w:szCs w:val="28"/>
                <w:bdr w:val="none" w:color="auto" w:sz="0" w:space="0"/>
                <w:lang w:val="en-US"/>
              </w:rPr>
              <w:t>桃江县桃花江镇芙蓉路65号</w:t>
            </w:r>
          </w:p>
        </w:tc>
      </w:tr>
      <w:tr w14:paraId="356A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AE3025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50FC4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92B8DA5">
            <w:pPr>
              <w:jc w:val="left"/>
            </w:pPr>
            <w:r>
              <w:rPr>
                <w:rStyle w:val="19"/>
                <w:rFonts w:hint="eastAsia" w:ascii="楷体_GB2312" w:eastAsia="楷体_GB2312" w:cs="楷体_GB2312"/>
                <w:sz w:val="28"/>
                <w:szCs w:val="28"/>
                <w:bdr w:val="none" w:color="auto" w:sz="0" w:space="0"/>
                <w:lang w:val="en-US"/>
              </w:rPr>
              <w:t>谢丰育</w:t>
            </w:r>
          </w:p>
        </w:tc>
      </w:tr>
      <w:tr w14:paraId="3857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F50016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994E0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5408E15">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w:t>
            </w:r>
            <w:r>
              <w:rPr>
                <w:rStyle w:val="19"/>
                <w:rFonts w:hint="eastAsia" w:ascii="楷体_GB2312" w:eastAsia="楷体_GB2312" w:cs="楷体_GB2312"/>
                <w:sz w:val="28"/>
                <w:szCs w:val="28"/>
                <w:bdr w:val="none" w:color="auto" w:sz="0" w:space="0"/>
              </w:rPr>
              <w:t>（万元）</w:t>
            </w:r>
          </w:p>
        </w:tc>
      </w:tr>
      <w:tr w14:paraId="3666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EBECF5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C0281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51AFF68">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7A78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BDF377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8349A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E16CDA3">
            <w:pPr>
              <w:jc w:val="left"/>
            </w:pPr>
            <w:r>
              <w:rPr>
                <w:rStyle w:val="19"/>
                <w:rFonts w:hint="eastAsia" w:ascii="楷体_GB2312" w:eastAsia="楷体_GB2312" w:cs="楷体_GB2312"/>
                <w:sz w:val="28"/>
                <w:szCs w:val="28"/>
                <w:bdr w:val="none" w:color="auto" w:sz="0" w:space="0"/>
                <w:lang w:val="en-US"/>
              </w:rPr>
              <w:t>桃江县水利局</w:t>
            </w:r>
          </w:p>
        </w:tc>
      </w:tr>
      <w:tr w14:paraId="249E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01C407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9A056F5">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0D2652E8">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6EBE358B">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12DB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F4B839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9E75FFC">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3DEF32A">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01A01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529B93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3E7C390">
            <w:pPr>
              <w:jc w:val="center"/>
              <w:rPr>
                <w:sz w:val="32"/>
                <w:szCs w:val="24"/>
                <w:bdr w:val="none" w:color="auto" w:sz="0" w:space="0"/>
                <w:lang w:val="en-US"/>
              </w:rPr>
            </w:pPr>
            <w:r>
              <w:rPr>
                <w:rStyle w:val="14"/>
                <w:sz w:val="32"/>
                <w:szCs w:val="24"/>
                <w:bdr w:val="none" w:color="auto" w:sz="0" w:space="0"/>
                <w:lang w:val="en-US"/>
              </w:rPr>
              <w:t>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B5B6BC1">
            <w:pPr>
              <w:jc w:val="center"/>
            </w:pPr>
            <w:r>
              <w:rPr>
                <w:rStyle w:val="19"/>
                <w:sz w:val="32"/>
                <w:szCs w:val="32"/>
                <w:bdr w:val="none" w:color="auto" w:sz="0" w:space="0"/>
                <w:lang w:val="en-US"/>
              </w:rPr>
              <w:t>3</w:t>
            </w:r>
          </w:p>
        </w:tc>
      </w:tr>
      <w:tr w14:paraId="77FB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1C5743F">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90DC2AA">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桃江县水利工程质量安全监督站</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5FF06C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49C5776">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3</w:t>
            </w:r>
          </w:p>
        </w:tc>
      </w:tr>
      <w:tr w14:paraId="1085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D014D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93E46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A759E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D4AFC7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7766FA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AC12C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691F3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081962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9A7AE12">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严格按照《条例》及其实施细则有关更改登记规定执行。</w:t>
            </w:r>
          </w:p>
        </w:tc>
      </w:tr>
      <w:tr w14:paraId="1C80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FDFAB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243C59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974BF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FB3EC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271FC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17E759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D15A3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17D20A8">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B0054D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全年工作开展情况 （一）安全生产方面 水利安全形势保持稳定。全年全县水利系统未发生一起安全生产伤亡事故，水利安全生产形势持续稳定。对新开工的水利工程按照相关要求严格办理安全报备。 （二）在建工程质量方面 1、严格落实了工程质量终身制。对新开工的水利工程按照相关要求参建各方必须签订水利工程建设主体项目负责人质量终身制承诺书，未落实的一律不办理质量报备。 2、狠抓了在建工程原材料与中间产品质量抽检。 3、严把了工程完工验收关。 4、做好了政府质量工作年度考核。 </w:t>
            </w:r>
          </w:p>
          <w:p w14:paraId="77C1EB5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37B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7B6B796">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6984914">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15C9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75C1813">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D00E371">
            <w:pPr>
              <w:jc w:val="left"/>
            </w:pPr>
            <w:r>
              <w:rPr>
                <w:rStyle w:val="19"/>
                <w:rFonts w:hint="eastAsia" w:ascii="楷体_GB2312" w:eastAsia="楷体_GB2312" w:cs="楷体_GB2312"/>
                <w:sz w:val="28"/>
                <w:szCs w:val="28"/>
                <w:bdr w:val="none" w:color="auto" w:sz="0" w:space="0"/>
                <w:lang w:val="en-US"/>
              </w:rPr>
              <w:t>无</w:t>
            </w:r>
          </w:p>
        </w:tc>
      </w:tr>
      <w:tr w14:paraId="7927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F3FB901">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782F998">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B69182A">
            <w:pPr>
              <w:jc w:val="left"/>
            </w:pPr>
            <w:r>
              <w:rPr>
                <w:rStyle w:val="19"/>
                <w:rFonts w:hint="eastAsia" w:ascii="楷体_GB2312" w:eastAsia="楷体_GB2312" w:cs="楷体_GB2312"/>
                <w:sz w:val="28"/>
                <w:szCs w:val="28"/>
                <w:bdr w:val="none" w:color="auto" w:sz="0" w:space="0"/>
                <w:lang w:val="en-US"/>
              </w:rPr>
              <w:t>无</w:t>
            </w:r>
          </w:p>
        </w:tc>
      </w:tr>
    </w:tbl>
    <w:p w14:paraId="24424013">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7801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4</Pages>
  <Words>602</Words>
  <Characters>638</Characters>
  <Lines>4</Lines>
  <Paragraphs>1</Paragraphs>
  <TotalTime>45456.4375000016</TotalTime>
  <ScaleCrop>false</ScaleCrop>
  <LinksUpToDate>false</LinksUpToDate>
  <CharactersWithSpaces>682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2024-06-13T02:47:43Z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30E9709A83234511A8888A12D7B8108D_13</vt:lpwstr>
  </property>
</Properties>
</file>