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B61B67B">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02E2CF64">
      <w:pPr>
        <w:wordWrap w:val="0"/>
        <w:jc w:val="right"/>
        <w:rPr>
          <w:rFonts w:eastAsia="楷体_GB2312"/>
          <w:b/>
          <w:bCs/>
          <w:sz w:val="30"/>
          <w:szCs w:val="24"/>
          <w:lang w:val="en-US"/>
        </w:rPr>
      </w:pPr>
      <w:r>
        <w:rPr>
          <w:rFonts w:eastAsia="楷体_GB2312"/>
          <w:b/>
          <w:bCs/>
          <w:sz w:val="30"/>
          <w:szCs w:val="24"/>
          <w:lang w:val="en-US"/>
        </w:rPr>
        <w:t xml:space="preserve">   </w:t>
      </w:r>
      <w:r>
        <w:rPr>
          <w:rStyle w:val="16"/>
          <w:b/>
          <w:bCs/>
          <w:sz w:val="30"/>
          <w:szCs w:val="30"/>
          <w:lang w:val="en-US"/>
        </w:rPr>
        <w:t>12430922694002157Q</w:t>
      </w:r>
      <w:r>
        <w:rPr>
          <w:rFonts w:eastAsia="楷体_GB2312"/>
          <w:b/>
          <w:bCs/>
          <w:sz w:val="30"/>
          <w:szCs w:val="24"/>
          <w:lang w:val="en-US"/>
        </w:rPr>
        <w:t xml:space="preserve">   </w:t>
      </w:r>
    </w:p>
    <w:p w14:paraId="145A8D0B">
      <w:pPr>
        <w:jc w:val="right"/>
        <w:rPr>
          <w:lang w:val="en-US"/>
        </w:rPr>
      </w:pPr>
    </w:p>
    <w:p w14:paraId="07C746E0">
      <w:pPr>
        <w:jc w:val="right"/>
        <w:rPr>
          <w:lang w:val="en-US"/>
        </w:rPr>
      </w:pPr>
    </w:p>
    <w:p w14:paraId="369FF6E3">
      <w:pPr>
        <w:jc w:val="right"/>
        <w:rPr>
          <w:lang w:val="en-US"/>
        </w:rPr>
      </w:pPr>
    </w:p>
    <w:p w14:paraId="7353B909">
      <w:pPr>
        <w:jc w:val="right"/>
        <w:rPr>
          <w:lang w:val="en-US"/>
        </w:rPr>
      </w:pPr>
    </w:p>
    <w:p w14:paraId="1796B995">
      <w:pPr>
        <w:jc w:val="right"/>
        <w:rPr>
          <w:lang w:val="en-US"/>
        </w:rPr>
      </w:pPr>
    </w:p>
    <w:p w14:paraId="32D311A0">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7AF40BF2">
      <w:pPr>
        <w:jc w:val="center"/>
        <w:rPr>
          <w:rFonts w:eastAsia="黑体"/>
          <w:b/>
          <w:bCs/>
          <w:spacing w:val="30"/>
          <w:lang w:val="en-US"/>
        </w:rPr>
      </w:pPr>
    </w:p>
    <w:p w14:paraId="402919F2">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6"/>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57ABE2A6">
      <w:pPr>
        <w:jc w:val="center"/>
        <w:rPr>
          <w:sz w:val="36"/>
          <w:szCs w:val="24"/>
          <w:lang w:val="en-US"/>
        </w:rPr>
      </w:pPr>
    </w:p>
    <w:p w14:paraId="7DFC044D">
      <w:pPr>
        <w:jc w:val="center"/>
        <w:rPr>
          <w:sz w:val="36"/>
          <w:szCs w:val="24"/>
          <w:lang w:val="en-US"/>
        </w:rPr>
      </w:pPr>
    </w:p>
    <w:p w14:paraId="713142D6">
      <w:pPr>
        <w:jc w:val="center"/>
        <w:rPr>
          <w:sz w:val="36"/>
          <w:szCs w:val="24"/>
          <w:lang w:val="en-US"/>
        </w:rPr>
      </w:pPr>
    </w:p>
    <w:p w14:paraId="0C4E90E5">
      <w:pPr>
        <w:jc w:val="center"/>
        <w:rPr>
          <w:sz w:val="36"/>
          <w:szCs w:val="24"/>
          <w:lang w:val="en-US"/>
        </w:rPr>
      </w:pPr>
    </w:p>
    <w:p w14:paraId="53D315A1">
      <w:pPr>
        <w:jc w:val="center"/>
        <w:rPr>
          <w:sz w:val="36"/>
          <w:szCs w:val="24"/>
          <w:lang w:val="en-US"/>
        </w:rPr>
      </w:pPr>
    </w:p>
    <w:p w14:paraId="55A20340">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01CF1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11F5A35B">
            <w:pPr>
              <w:jc w:val="distribute"/>
            </w:pPr>
            <w:r>
              <w:rPr>
                <w:rStyle w:val="17"/>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4CE38B47">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桃江县桃花江核电项目工作办公室</w:t>
            </w:r>
          </w:p>
        </w:tc>
      </w:tr>
    </w:tbl>
    <w:p w14:paraId="04E45442">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600A6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12C29D77">
            <w:pPr>
              <w:jc w:val="distribute"/>
            </w:pPr>
            <w:r>
              <w:rPr>
                <w:rStyle w:val="17"/>
                <w:b/>
                <w:bCs/>
                <w:sz w:val="36"/>
                <w:szCs w:val="24"/>
                <w:bdr w:val="none" w:color="auto" w:sz="0" w:space="0"/>
              </w:rPr>
              <w:t>法</w:t>
            </w:r>
            <w:r>
              <w:rPr>
                <w:rStyle w:val="17"/>
                <w:b/>
                <w:bCs/>
                <w:spacing w:val="30"/>
                <w:sz w:val="36"/>
                <w:szCs w:val="24"/>
                <w:bdr w:val="none" w:color="auto" w:sz="0" w:space="0"/>
              </w:rPr>
              <w:t>定代表</w:t>
            </w:r>
            <w:r>
              <w:rPr>
                <w:rStyle w:val="17"/>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60E2400E">
            <w:pPr>
              <w:keepNext w:val="0"/>
              <w:keepLines w:val="0"/>
              <w:widowControl/>
              <w:suppressLineNumbers w:val="0"/>
              <w:jc w:val="left"/>
              <w:rPr>
                <w:kern w:val="0"/>
                <w:sz w:val="20"/>
                <w:szCs w:val="20"/>
                <w:bdr w:val="none" w:color="auto" w:sz="0" w:space="0"/>
                <w:lang w:val="en-US"/>
              </w:rPr>
            </w:pPr>
          </w:p>
        </w:tc>
      </w:tr>
    </w:tbl>
    <w:p w14:paraId="531069E8">
      <w:pPr>
        <w:ind w:left="0" w:firstLine="723" w:firstLineChars="300"/>
        <w:rPr>
          <w:rFonts w:hint="eastAsia" w:ascii="黑体" w:hAnsi="宋体" w:eastAsia="黑体" w:cs="黑体"/>
          <w:b/>
          <w:bCs/>
          <w:sz w:val="24"/>
          <w:szCs w:val="24"/>
          <w:u w:val="single"/>
          <w:lang w:val="en-US"/>
        </w:rPr>
      </w:pPr>
    </w:p>
    <w:p w14:paraId="6C653B5A">
      <w:pPr>
        <w:jc w:val="center"/>
        <w:rPr>
          <w:rFonts w:hint="eastAsia" w:ascii="黑体" w:hAnsi="宋体" w:eastAsia="黑体" w:cs="黑体"/>
          <w:b/>
          <w:bCs/>
          <w:sz w:val="30"/>
          <w:szCs w:val="24"/>
          <w:u w:val="single"/>
          <w:lang w:val="en-US"/>
        </w:rPr>
      </w:pPr>
    </w:p>
    <w:p w14:paraId="45C46550">
      <w:pPr>
        <w:jc w:val="center"/>
        <w:rPr>
          <w:rFonts w:hint="eastAsia" w:ascii="黑体" w:hAnsi="宋体" w:eastAsia="黑体" w:cs="黑体"/>
          <w:b/>
          <w:bCs/>
          <w:sz w:val="30"/>
          <w:szCs w:val="24"/>
          <w:u w:val="single"/>
          <w:lang w:val="en-US"/>
        </w:rPr>
      </w:pPr>
    </w:p>
    <w:p w14:paraId="07EFB029">
      <w:pPr>
        <w:jc w:val="center"/>
        <w:rPr>
          <w:u w:val="single"/>
          <w:lang w:val="en-US"/>
        </w:rPr>
      </w:pPr>
    </w:p>
    <w:p w14:paraId="12D92565">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673D932A">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46D0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18E70C5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142FED7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028AFDE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321DFE2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0413F62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0626E2CB">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17C3CA2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2966C4B7">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桃江县桃花江核电项目工作办公室</w:t>
            </w:r>
          </w:p>
        </w:tc>
      </w:tr>
      <w:tr w14:paraId="3A6E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0094FF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9F4ADC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230149C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3EEA7FE">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全力支持、服务核电项目建设。指导、组织、协调、督促核电项目各项工作。</w:t>
            </w:r>
          </w:p>
        </w:tc>
      </w:tr>
      <w:tr w14:paraId="099F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B96828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2D04BB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479CEAC">
            <w:pPr>
              <w:jc w:val="left"/>
            </w:pPr>
            <w:r>
              <w:rPr>
                <w:rStyle w:val="20"/>
                <w:rFonts w:hint="eastAsia" w:ascii="楷体_GB2312" w:eastAsia="楷体_GB2312" w:cs="楷体_GB2312"/>
                <w:sz w:val="28"/>
                <w:szCs w:val="28"/>
                <w:bdr w:val="none" w:color="auto" w:sz="0" w:space="0"/>
                <w:lang w:val="en-US"/>
              </w:rPr>
              <w:t>桃江县桃花江镇芙蓉东路</w:t>
            </w:r>
          </w:p>
        </w:tc>
      </w:tr>
      <w:tr w14:paraId="3C9A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A76C3D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0FE678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8EE61E9">
            <w:pPr>
              <w:jc w:val="left"/>
            </w:pPr>
            <w:r>
              <w:rPr>
                <w:rStyle w:val="20"/>
                <w:rFonts w:hint="eastAsia" w:ascii="楷体_GB2312" w:eastAsia="楷体_GB2312" w:cs="楷体_GB2312"/>
                <w:sz w:val="28"/>
                <w:szCs w:val="28"/>
                <w:bdr w:val="none" w:color="auto" w:sz="0" w:space="0"/>
                <w:lang w:val="en-US"/>
              </w:rPr>
              <w:t>吴立丰</w:t>
            </w:r>
          </w:p>
        </w:tc>
      </w:tr>
      <w:tr w14:paraId="7F07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C79F6E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BFDC78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735B1EA">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27.991</w:t>
            </w:r>
            <w:r>
              <w:rPr>
                <w:rStyle w:val="20"/>
                <w:rFonts w:hint="eastAsia" w:ascii="楷体_GB2312" w:eastAsia="楷体_GB2312" w:cs="楷体_GB2312"/>
                <w:sz w:val="28"/>
                <w:szCs w:val="28"/>
                <w:bdr w:val="none" w:color="auto" w:sz="0" w:space="0"/>
              </w:rPr>
              <w:t>（万元）</w:t>
            </w:r>
          </w:p>
        </w:tc>
      </w:tr>
      <w:tr w14:paraId="6F59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193D1E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86FB3D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F8D586E">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w:t>
            </w:r>
          </w:p>
        </w:tc>
      </w:tr>
      <w:tr w14:paraId="1D0D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434747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035C7D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2809B70">
            <w:pPr>
              <w:jc w:val="left"/>
            </w:pPr>
            <w:r>
              <w:rPr>
                <w:rStyle w:val="20"/>
                <w:rFonts w:hint="eastAsia" w:ascii="楷体_GB2312" w:eastAsia="楷体_GB2312" w:cs="楷体_GB2312"/>
                <w:sz w:val="28"/>
                <w:szCs w:val="28"/>
                <w:bdr w:val="none" w:color="auto" w:sz="0" w:space="0"/>
                <w:lang w:val="en-US"/>
              </w:rPr>
              <w:t>桃江县人民政府</w:t>
            </w:r>
          </w:p>
        </w:tc>
      </w:tr>
      <w:tr w14:paraId="3A7F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5C572CB6">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67BB3686">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147A8E62">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48CB8A2C">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14:paraId="65B0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3F711E80">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E7C1F6E">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53B1158F">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14:paraId="61C5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2BAC6682">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0A10745">
            <w:pPr>
              <w:jc w:val="center"/>
              <w:rPr>
                <w:sz w:val="32"/>
                <w:szCs w:val="24"/>
                <w:bdr w:val="none" w:color="auto" w:sz="0" w:space="0"/>
                <w:lang w:val="en-US"/>
              </w:rPr>
            </w:pPr>
            <w:r>
              <w:rPr>
                <w:rStyle w:val="19"/>
                <w:sz w:val="32"/>
                <w:szCs w:val="24"/>
                <w:bdr w:val="none" w:color="auto" w:sz="0" w:space="0"/>
                <w:lang w:val="en-US"/>
              </w:rPr>
              <w:t>2</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51DB777F">
            <w:pPr>
              <w:jc w:val="center"/>
            </w:pPr>
            <w:r>
              <w:rPr>
                <w:rStyle w:val="20"/>
                <w:sz w:val="32"/>
                <w:szCs w:val="32"/>
                <w:bdr w:val="none" w:color="auto" w:sz="0" w:space="0"/>
                <w:lang w:val="en-US"/>
              </w:rPr>
              <w:t>2</w:t>
            </w:r>
          </w:p>
        </w:tc>
      </w:tr>
      <w:tr w14:paraId="0E23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CDC12E0">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BB175F4">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桃江县桃花江核电项目工作办公室.公益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43FCD611">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606CB9B9">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9</w:t>
            </w:r>
          </w:p>
        </w:tc>
      </w:tr>
      <w:tr w14:paraId="42D3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0A9D6FC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33E7590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0628841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0318309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15CCFFF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2245A90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412A878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682C8507">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1685F69B">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严格按照《条例》和实施细则有关变更登记规定执行</w:t>
            </w:r>
          </w:p>
        </w:tc>
      </w:tr>
      <w:tr w14:paraId="3758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03EC3FA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2A7D5D5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35EA74C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093BA96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06D951E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541C364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161E54C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4AEAA3D0">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74E66BFA">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业务工作更加有效。一是核电厂址得到妥善保护。严格落实益阳市政府出台的《湖南桃花江核电厂址保护管理办法》，会同湖南桃花江核电有限公司、沾溪镇、三堂街镇、县自然资源局等部门单位积极开展了厂址保护月度联合巡查，及时有效防止人为破坏行为的出现，对已完工设备设施不定期维护保养，确保厂址得到有效保护。全年巡查共达11次，发出《巡查通报》11期，未出现一例违建或损坏厂址行为。探索开发性厂址保护，积极配合桃花江核电公司和沾溪镇政府开展招商引资，共引进企业12家，形成了核电工业小园区，有效地解决了当地就业300人次，缴纳税收300万元。特别是强化与中核汇能公司、沾溪镇政府对接，强力促推汇荷光伏发电项目建设，成功实现汇荷60兆瓦光伏发电项目提前68天并网发电。二是遗留问题基本得到处理。班子成员多次带队前往桃花江核电公司，积极争取资金，发放桃花江核电项目征地拆迁厂区完全失地困难农民生活救助金29万元，确保安置区和谐稳定。积极协调核电规划红线内和非居住区居民建房问题，特别是针对核电厂址拆迁户提出的因新增人口需分户建房问题，我办积极与沾溪镇政府和县自然资源局对接，提出了建议性意见。三是核电科普宣传稳步推进。接待县委党校学员、初高中生、县内县外单位人员等到桃花江核电科普馆、核电厂区参观近1000人次。有序配合桃花江核电有限核公司开展第十一届“魅力之光杯”全国中学生核电科普知识竞赛活动，全县参加人数约30000人次，获得了核电总公司的高度赞同。四是密切关注核电重启动向。紧盯上级关于内陆核电的相关政策部署，稳妥强化向上对接汇报，积极推动了县委主要领导前往国家发改委汇报桃花江核电工作进展情况，为主起草了《关于请求重启桃花江核电项目的情况汇报》。 </w:t>
            </w:r>
          </w:p>
          <w:p w14:paraId="7C0E91A4">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243C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F4EB26C">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83DCE07">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无</w:t>
            </w:r>
          </w:p>
        </w:tc>
      </w:tr>
      <w:tr w14:paraId="0413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9211D1C">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6DD0FD40">
            <w:pPr>
              <w:jc w:val="left"/>
            </w:pPr>
            <w:r>
              <w:rPr>
                <w:rStyle w:val="20"/>
                <w:rFonts w:hint="eastAsia" w:ascii="楷体_GB2312" w:eastAsia="楷体_GB2312" w:cs="楷体_GB2312"/>
                <w:sz w:val="28"/>
                <w:szCs w:val="28"/>
                <w:bdr w:val="none" w:color="auto" w:sz="0" w:space="0"/>
                <w:lang w:val="en-US"/>
              </w:rPr>
              <w:t>无</w:t>
            </w:r>
          </w:p>
        </w:tc>
      </w:tr>
      <w:tr w14:paraId="2531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39E5758">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53E2E0A7">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3EA8F0FB">
            <w:pPr>
              <w:jc w:val="left"/>
            </w:pPr>
            <w:r>
              <w:rPr>
                <w:rStyle w:val="20"/>
                <w:rFonts w:hint="eastAsia" w:ascii="楷体_GB2312" w:eastAsia="楷体_GB2312" w:cs="楷体_GB2312"/>
                <w:sz w:val="28"/>
                <w:szCs w:val="28"/>
                <w:bdr w:val="none" w:color="auto" w:sz="0" w:space="0"/>
                <w:lang w:val="en-US"/>
              </w:rPr>
              <w:t>无</w:t>
            </w:r>
          </w:p>
        </w:tc>
      </w:tr>
    </w:tbl>
    <w:p w14:paraId="0CABEFFA">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2D297B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5"/>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页脚 Char"/>
    <w:basedOn w:val="13"/>
    <w:link w:val="8"/>
    <w:locked/>
    <w:uiPriority w:val="0"/>
    <w:rPr>
      <w:rFonts w:hint="default" w:ascii="Times New Roman" w:hAnsi="Times New Roman" w:eastAsia="宋体" w:cs="Times New Roman"/>
      <w:sz w:val="18"/>
      <w:szCs w:val="18"/>
    </w:rPr>
  </w:style>
  <w:style w:type="character" w:customStyle="1" w:styleId="16">
    <w:name w:val="font21"/>
    <w:basedOn w:val="13"/>
    <w:uiPriority w:val="0"/>
    <w:rPr>
      <w:rFonts w:hint="default" w:ascii="Times New Roman" w:hAnsi="Times New Roman" w:eastAsia="楷体_GB2312" w:cs="Times New Roman"/>
      <w:sz w:val="30"/>
      <w:szCs w:val="24"/>
    </w:rPr>
  </w:style>
  <w:style w:type="character" w:customStyle="1" w:styleId="17">
    <w:name w:val="font51"/>
    <w:basedOn w:val="13"/>
    <w:uiPriority w:val="0"/>
    <w:rPr>
      <w:rFonts w:hint="eastAsia" w:ascii="黑体" w:hAnsi="宋体" w:eastAsia="黑体" w:cs="黑体"/>
      <w:sz w:val="36"/>
      <w:szCs w:val="24"/>
    </w:rPr>
  </w:style>
  <w:style w:type="character" w:customStyle="1" w:styleId="18">
    <w:name w:val="hps"/>
    <w:basedOn w:val="13"/>
    <w:uiPriority w:val="0"/>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1071</Words>
  <Characters>1128</Characters>
  <Lines>4</Lines>
  <Paragraphs>1</Paragraphs>
  <TotalTime>45456.4062500016</TotalTime>
  <ScaleCrop>false</ScaleCrop>
  <LinksUpToDate>false</LinksUpToDate>
  <CharactersWithSpaces>1164</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2024-06-13T02:12:43Z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1BC2826439854723A5BCE517D723FFE1_13</vt:lpwstr>
  </property>
</Properties>
</file>