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38A483">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18172DC9">
      <w:pPr>
        <w:wordWrap w:val="0"/>
        <w:jc w:val="right"/>
        <w:rPr>
          <w:rFonts w:eastAsia="楷体_GB2312"/>
          <w:b/>
          <w:bCs/>
          <w:sz w:val="30"/>
          <w:szCs w:val="24"/>
          <w:lang w:val="en-US"/>
        </w:rPr>
      </w:pPr>
      <w:r>
        <w:rPr>
          <w:rFonts w:eastAsia="楷体_GB2312"/>
          <w:b/>
          <w:bCs/>
          <w:sz w:val="30"/>
          <w:szCs w:val="24"/>
          <w:lang w:val="en-US"/>
        </w:rPr>
        <w:t xml:space="preserve">   </w:t>
      </w:r>
      <w:r>
        <w:rPr>
          <w:rStyle w:val="15"/>
          <w:b/>
          <w:bCs/>
          <w:sz w:val="30"/>
          <w:szCs w:val="30"/>
          <w:lang w:val="en-US"/>
        </w:rPr>
        <w:t>12430922MB11358983</w:t>
      </w:r>
      <w:r>
        <w:rPr>
          <w:rFonts w:eastAsia="楷体_GB2312"/>
          <w:b/>
          <w:bCs/>
          <w:sz w:val="30"/>
          <w:szCs w:val="24"/>
          <w:lang w:val="en-US"/>
        </w:rPr>
        <w:t xml:space="preserve">   </w:t>
      </w:r>
    </w:p>
    <w:p w14:paraId="63D0BEF8">
      <w:pPr>
        <w:jc w:val="right"/>
        <w:rPr>
          <w:lang w:val="en-US"/>
        </w:rPr>
      </w:pPr>
    </w:p>
    <w:p w14:paraId="0F06F819">
      <w:pPr>
        <w:jc w:val="right"/>
        <w:rPr>
          <w:lang w:val="en-US"/>
        </w:rPr>
      </w:pPr>
    </w:p>
    <w:p w14:paraId="18EE4B32">
      <w:pPr>
        <w:jc w:val="right"/>
        <w:rPr>
          <w:lang w:val="en-US"/>
        </w:rPr>
      </w:pPr>
    </w:p>
    <w:p w14:paraId="0695E098">
      <w:pPr>
        <w:jc w:val="right"/>
        <w:rPr>
          <w:lang w:val="en-US"/>
        </w:rPr>
      </w:pPr>
    </w:p>
    <w:p w14:paraId="0AFBA016">
      <w:pPr>
        <w:jc w:val="right"/>
        <w:rPr>
          <w:lang w:val="en-US"/>
        </w:rPr>
      </w:pPr>
    </w:p>
    <w:p w14:paraId="49B26439">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0981710A">
      <w:pPr>
        <w:jc w:val="center"/>
        <w:rPr>
          <w:rFonts w:eastAsia="黑体"/>
          <w:b/>
          <w:bCs/>
          <w:spacing w:val="30"/>
          <w:lang w:val="en-US"/>
        </w:rPr>
      </w:pPr>
    </w:p>
    <w:p w14:paraId="1636D691">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5"/>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435F0628">
      <w:pPr>
        <w:jc w:val="center"/>
        <w:rPr>
          <w:sz w:val="36"/>
          <w:szCs w:val="24"/>
          <w:lang w:val="en-US"/>
        </w:rPr>
      </w:pPr>
    </w:p>
    <w:p w14:paraId="79B21201">
      <w:pPr>
        <w:jc w:val="center"/>
        <w:rPr>
          <w:sz w:val="36"/>
          <w:szCs w:val="24"/>
          <w:lang w:val="en-US"/>
        </w:rPr>
      </w:pPr>
    </w:p>
    <w:p w14:paraId="6BDC3134">
      <w:pPr>
        <w:jc w:val="center"/>
        <w:rPr>
          <w:sz w:val="36"/>
          <w:szCs w:val="24"/>
          <w:lang w:val="en-US"/>
        </w:rPr>
      </w:pPr>
    </w:p>
    <w:p w14:paraId="48BEDEA5">
      <w:pPr>
        <w:jc w:val="center"/>
        <w:rPr>
          <w:sz w:val="36"/>
          <w:szCs w:val="24"/>
          <w:lang w:val="en-US"/>
        </w:rPr>
      </w:pPr>
    </w:p>
    <w:p w14:paraId="4BB0A92F">
      <w:pPr>
        <w:jc w:val="center"/>
        <w:rPr>
          <w:sz w:val="36"/>
          <w:szCs w:val="24"/>
          <w:lang w:val="en-US"/>
        </w:rPr>
      </w:pPr>
    </w:p>
    <w:p w14:paraId="208998D3">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3DC04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5C90909E">
            <w:pPr>
              <w:jc w:val="distribute"/>
            </w:pPr>
            <w:r>
              <w:rPr>
                <w:rStyle w:val="17"/>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27CCD3C3">
            <w:pPr>
              <w:jc w:val="center"/>
              <w:rPr>
                <w:rFonts w:hint="eastAsia" w:ascii="楷体_GB2312" w:eastAsia="楷体_GB2312" w:cs="楷体_GB2312"/>
                <w:sz w:val="32"/>
                <w:szCs w:val="24"/>
                <w:bdr w:val="none" w:color="auto" w:sz="0" w:space="0"/>
                <w:lang w:val="en-US"/>
              </w:rPr>
            </w:pPr>
            <w:r>
              <w:rPr>
                <w:rStyle w:val="18"/>
                <w:rFonts w:hint="eastAsia" w:ascii="楷体_GB2312" w:eastAsia="楷体_GB2312" w:cs="楷体_GB2312"/>
                <w:sz w:val="32"/>
                <w:szCs w:val="24"/>
                <w:bdr w:val="none" w:color="auto" w:sz="0" w:space="0"/>
                <w:lang w:val="en-US"/>
              </w:rPr>
              <w:t>桃江县桃花江镇第二中心幼儿园</w:t>
            </w:r>
          </w:p>
        </w:tc>
      </w:tr>
    </w:tbl>
    <w:p w14:paraId="2A34BB8C">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3AA73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41AEB089">
            <w:pPr>
              <w:jc w:val="distribute"/>
            </w:pPr>
            <w:r>
              <w:rPr>
                <w:rStyle w:val="17"/>
                <w:b/>
                <w:bCs/>
                <w:sz w:val="36"/>
                <w:szCs w:val="24"/>
                <w:bdr w:val="none" w:color="auto" w:sz="0" w:space="0"/>
              </w:rPr>
              <w:t>法</w:t>
            </w:r>
            <w:r>
              <w:rPr>
                <w:rStyle w:val="17"/>
                <w:b/>
                <w:bCs/>
                <w:spacing w:val="30"/>
                <w:sz w:val="36"/>
                <w:szCs w:val="24"/>
                <w:bdr w:val="none" w:color="auto" w:sz="0" w:space="0"/>
              </w:rPr>
              <w:t>定代表</w:t>
            </w:r>
            <w:r>
              <w:rPr>
                <w:rStyle w:val="17"/>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426AAF72">
            <w:pPr>
              <w:keepNext w:val="0"/>
              <w:keepLines w:val="0"/>
              <w:widowControl/>
              <w:suppressLineNumbers w:val="0"/>
              <w:jc w:val="left"/>
              <w:rPr>
                <w:kern w:val="0"/>
                <w:sz w:val="20"/>
                <w:szCs w:val="20"/>
                <w:bdr w:val="none" w:color="auto" w:sz="0" w:space="0"/>
                <w:lang w:val="en-US"/>
              </w:rPr>
            </w:pPr>
          </w:p>
        </w:tc>
      </w:tr>
    </w:tbl>
    <w:p w14:paraId="64025D22">
      <w:pPr>
        <w:ind w:left="0" w:firstLine="723" w:firstLineChars="300"/>
        <w:rPr>
          <w:rFonts w:hint="eastAsia" w:ascii="黑体" w:hAnsi="宋体" w:eastAsia="黑体" w:cs="黑体"/>
          <w:b/>
          <w:bCs/>
          <w:sz w:val="24"/>
          <w:szCs w:val="24"/>
          <w:u w:val="single"/>
          <w:lang w:val="en-US"/>
        </w:rPr>
      </w:pPr>
    </w:p>
    <w:p w14:paraId="58ACF2B7">
      <w:pPr>
        <w:jc w:val="center"/>
        <w:rPr>
          <w:rFonts w:hint="eastAsia" w:ascii="黑体" w:hAnsi="宋体" w:eastAsia="黑体" w:cs="黑体"/>
          <w:b/>
          <w:bCs/>
          <w:sz w:val="30"/>
          <w:szCs w:val="24"/>
          <w:u w:val="single"/>
          <w:lang w:val="en-US"/>
        </w:rPr>
      </w:pPr>
    </w:p>
    <w:p w14:paraId="701EAD78">
      <w:pPr>
        <w:jc w:val="center"/>
        <w:rPr>
          <w:rFonts w:hint="eastAsia" w:ascii="黑体" w:hAnsi="宋体" w:eastAsia="黑体" w:cs="黑体"/>
          <w:b/>
          <w:bCs/>
          <w:sz w:val="30"/>
          <w:szCs w:val="24"/>
          <w:u w:val="single"/>
          <w:lang w:val="en-US"/>
        </w:rPr>
      </w:pPr>
    </w:p>
    <w:p w14:paraId="5A61E98E">
      <w:pPr>
        <w:jc w:val="center"/>
        <w:rPr>
          <w:u w:val="single"/>
          <w:lang w:val="en-US"/>
        </w:rPr>
      </w:pPr>
    </w:p>
    <w:p w14:paraId="07DA2254">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5C2D6F7D">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2BCD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21BF47A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531BA91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091A275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79A67BC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21AF3D6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133FCF26">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400777B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067C8AC3">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桃江县桃花江镇第二中心幼儿园</w:t>
            </w:r>
          </w:p>
        </w:tc>
      </w:tr>
      <w:tr w14:paraId="7CCE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961DE5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D8AF6A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5E6B016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144FCAD">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对0-6岁儿童实施教育与德育相结合，对幼儿进行德智体美等方面的全面教育；对儿童做好心理与生理健康工作指导；结合幼儿发展规律和自身的特点，进行针对性的培养；与幼儿家庭共同为幼儿健康成长服务。托育和早教服务职能。</w:t>
            </w:r>
          </w:p>
        </w:tc>
      </w:tr>
      <w:tr w14:paraId="56A6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0454DF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E8A397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E903EA4">
            <w:pPr>
              <w:jc w:val="left"/>
            </w:pPr>
            <w:r>
              <w:rPr>
                <w:rStyle w:val="19"/>
                <w:rFonts w:hint="eastAsia" w:ascii="楷体_GB2312" w:eastAsia="楷体_GB2312" w:cs="楷体_GB2312"/>
                <w:sz w:val="28"/>
                <w:szCs w:val="28"/>
                <w:bdr w:val="none" w:color="auto" w:sz="0" w:space="0"/>
                <w:lang w:val="en-US"/>
              </w:rPr>
              <w:t>桃江县桃花江镇美人窝路</w:t>
            </w:r>
          </w:p>
        </w:tc>
      </w:tr>
      <w:tr w14:paraId="0107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9BC9F3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D72BA6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8173E8D">
            <w:pPr>
              <w:jc w:val="left"/>
            </w:pPr>
            <w:r>
              <w:rPr>
                <w:rStyle w:val="19"/>
                <w:rFonts w:hint="eastAsia" w:ascii="楷体_GB2312" w:eastAsia="楷体_GB2312" w:cs="楷体_GB2312"/>
                <w:sz w:val="28"/>
                <w:szCs w:val="28"/>
                <w:bdr w:val="none" w:color="auto" w:sz="0" w:space="0"/>
                <w:lang w:val="en-US"/>
              </w:rPr>
              <w:t>何晶</w:t>
            </w:r>
          </w:p>
        </w:tc>
      </w:tr>
      <w:tr w14:paraId="4C50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ADB6BBB">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7CDF27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B8AE6C7">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800</w:t>
            </w:r>
            <w:r>
              <w:rPr>
                <w:rStyle w:val="19"/>
                <w:rFonts w:hint="eastAsia" w:ascii="楷体_GB2312" w:eastAsia="楷体_GB2312" w:cs="楷体_GB2312"/>
                <w:sz w:val="28"/>
                <w:szCs w:val="28"/>
                <w:bdr w:val="none" w:color="auto" w:sz="0" w:space="0"/>
              </w:rPr>
              <w:t>（万元）</w:t>
            </w:r>
          </w:p>
        </w:tc>
      </w:tr>
      <w:tr w14:paraId="4E15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AA2E9C9">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8DAEC6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72988650">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w:t>
            </w:r>
          </w:p>
        </w:tc>
      </w:tr>
      <w:tr w14:paraId="5A5F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1E5A31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A64E87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66561EB6">
            <w:pPr>
              <w:jc w:val="left"/>
            </w:pPr>
            <w:r>
              <w:rPr>
                <w:rStyle w:val="19"/>
                <w:rFonts w:hint="eastAsia" w:ascii="楷体_GB2312" w:eastAsia="楷体_GB2312" w:cs="楷体_GB2312"/>
                <w:sz w:val="28"/>
                <w:szCs w:val="28"/>
                <w:bdr w:val="none" w:color="auto" w:sz="0" w:space="0"/>
                <w:lang w:val="en-US"/>
              </w:rPr>
              <w:t>桃江县桃花江镇中心学校</w:t>
            </w:r>
          </w:p>
        </w:tc>
      </w:tr>
      <w:tr w14:paraId="3BEF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58D6E289">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47DF9D30">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16DF78E1">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3D58809B">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净资产合计（所有者权益合计）</w:t>
            </w:r>
          </w:p>
        </w:tc>
      </w:tr>
      <w:tr w14:paraId="0004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7CAB8BF3">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45CE36B6">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1DCE8708">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年末数（万元）</w:t>
            </w:r>
          </w:p>
        </w:tc>
      </w:tr>
      <w:tr w14:paraId="7971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42D78500">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7EBEDCEA">
            <w:pPr>
              <w:jc w:val="center"/>
              <w:rPr>
                <w:sz w:val="32"/>
                <w:szCs w:val="24"/>
                <w:bdr w:val="none" w:color="auto" w:sz="0" w:space="0"/>
                <w:lang w:val="en-US"/>
              </w:rPr>
            </w:pPr>
            <w:r>
              <w:rPr>
                <w:rStyle w:val="18"/>
                <w:sz w:val="32"/>
                <w:szCs w:val="24"/>
                <w:bdr w:val="none" w:color="auto" w:sz="0" w:space="0"/>
                <w:lang w:val="en-US"/>
              </w:rPr>
              <w:t>800</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5049BCAD">
            <w:pPr>
              <w:jc w:val="center"/>
            </w:pPr>
            <w:r>
              <w:rPr>
                <w:rStyle w:val="19"/>
                <w:sz w:val="32"/>
                <w:szCs w:val="32"/>
                <w:bdr w:val="none" w:color="auto" w:sz="0" w:space="0"/>
                <w:lang w:val="en-US"/>
              </w:rPr>
              <w:t>800</w:t>
            </w:r>
          </w:p>
        </w:tc>
      </w:tr>
      <w:tr w14:paraId="77CE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3DD15CD3">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DB411AE">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桃花江镇第二中心幼儿园</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4E885AD6">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0D3B77DB">
            <w:pPr>
              <w:spacing w:line="0" w:lineRule="atLeast"/>
              <w:jc w:val="left"/>
              <w:rPr>
                <w:rFonts w:hint="eastAsia" w:ascii="楷体_GB2312" w:eastAsia="楷体_GB2312" w:cs="楷体_GB2312"/>
                <w:sz w:val="32"/>
                <w:szCs w:val="24"/>
                <w:bdr w:val="none" w:color="auto" w:sz="0" w:space="0"/>
                <w:lang w:val="en-US"/>
              </w:rPr>
            </w:pPr>
            <w:r>
              <w:rPr>
                <w:rStyle w:val="18"/>
                <w:sz w:val="32"/>
                <w:szCs w:val="24"/>
                <w:bdr w:val="none" w:color="auto" w:sz="0" w:space="0"/>
                <w:lang w:val="en-US"/>
              </w:rPr>
              <w:t>46</w:t>
            </w:r>
          </w:p>
        </w:tc>
      </w:tr>
      <w:tr w14:paraId="5D73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51E7EF8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5440E5C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2BB4076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3136E53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31C54B1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45B1282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6F487B3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7AAB0DDA">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15C4EEEC">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严格按《条例》和实施细则有关变更登记规定执行</w:t>
            </w:r>
          </w:p>
        </w:tc>
      </w:tr>
      <w:tr w14:paraId="5811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4C6CF23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3AE79C4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2CB59D6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406D3CC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6994F2D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2157700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3B1E43E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6A8FF314">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3B1601B9">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桃花江镇第二中心幼儿园 2023年上期业务工作总结 一期来，在各级领导的指导下，在全体教职工的努力下，我园认真贯彻《幼儿园教育指导纲要》精神，围绕各项教育工作的要求，以让每一位孩子健康、快乐地成长的办园宗旨，促进每个幼儿富有个性的发展，全面提高了幼儿园的保教质量。下面我将一期来的工作向大家做个汇报： 一、园务管理：落实制度，明确职责 为了使幼儿园管理工作逐步向规范化方向迈进，我们严格按照管理制度汇编，做到分工明确，责任到人。在实际工作中严格照章办事。通过落实制度，明确职责，提高了教职工的工作责任感，促进了我园各项工作有序、有效地开展。 二、提升教师的归属感，促幼儿园可持续性发展 1.教师加强学习，提高素质 为了提高教师的素质，我们通过多种形式对教师进行培训。首先利用寒假的师德培训，开展形式多样的师德教育；其次采取请进来、走出去的方式。如在我们的园本培训中，我们邀请了专家老师给我们作有关户外游戏组织，游戏案例撰写的相关讲座。我园还派了骨干老师去益阳、县幼参观学习，回来之后给大家作了交流活动，对于新教师，进行了师徒结对，传帮带教，让新教师在观摩中进步，在反思中成长。 2.提高教师在园的幸福感和归属感。 挖掘节日的内涵，开展丰富多彩的活动。结合三八节开展教师游桃花源活动，结合母亲节组织全园教职工开展“感恩”活动，通过组织活动开拓教师视野，提升教师的集体感和归属感，举行“聆听花开的声音”等谈心交流活动，倾听教师心声，为教师解决当务之急。 三、教育教学：注重细节，提升质量 一是各班能认真制订教学计划，在制定月、周、日活动时合理安排各方面的教育内容，根据孩子的年龄特点把领域活动与主题活动有机结合，相互渗透，有效地防止在教学工作的主观性和随意性。 二是定期检查教师备课、幼儿成长档案、观察记录等。落实一日教学常规，加大对一日生活各个环节的监督和调控。以推门听课、观摩活动为载体，在听完每节课、观看每个活动后与教师及时交流，并进行点评纠正。 三是各班都创设了有利于引发幼儿互动的环境。在走廊、楼梯、班级主题墙、家长园地等环境的创设，做到美观新颖，突出主题。根据孩子年龄特点，力求做到生活化，情趣化，艺术化和儿童化，让孩子主动参与到环境中来，从中受到教育。 四是充分发挥我园的区域优势，挖掘自然教育资源，把本土竹资源渗透到幼儿的一日生活之中，贯穿于游戏、教育活动之中，并以多种形式进行整合，结合本园、本班幼儿的实际情况，灵活开展。在组织好幼儿一日活动、上好主题教学活动的同时，我们还结合世界水日、世界无烟日、环保创意种植开展了系列活动，增强了幼儿的环保意识。 五是开展各种活动，丰富幼儿在园生活。除了二十四节气的主题活动，还开展了足球运动会，雷锋月活动，植树节活动，读书活动、母情节、父亲节主题活动、六一庆祝等活动。 四、教育科研：积极参与，共同成长 本学期的园本教研在县局基教股的引领下，我园积极开展研讨活动，我们的教研主题是《如何将竹玩游戏与民间传统游戏有机结合》，在教研过程中，我们老师都积极的参与，这种研训一体的模式对我园的老师帮助很大，她们善学、善思，乐于发表自己的看法、见解，在市局组织的游戏案例评选活动中，得到了领导的好评，我园的游戏水平也达到了一个新的高度。 在我们的年级组工作中，紧紧围绕园本培训，结合幼儿园教师的实际教学能力，开展的园本教研主题是挖掘桃江地域文化资源，开发幼儿园园本课程。 通过园本教研活动的开展，真正满足了教师的成长需求，促进了教师的专业化成长。 五、卫生保健：落实安全，细化保育 我园制定《药品管理制度》、《班级安全管理制度》、《幼儿接送制度》、《幼儿意外伤害事故处理》、《房屋设备检查制度》等安全卫生保健制度，促使安全卫生保健工作有序、科学地开展，为幼儿提供有利于健康成长的环境。 （一）细化制度，提高安全管理力度 细化各块安全工作责任。每年度与每位教职工依据自身的工作签订安全目标责任书，做到人人有责。 （二）细化工作，规划保育工作程序 在已有制度的基础上进一步细化幼儿在园一日生活各环节的管理细则，包括对教师的具体工作、对保育员的具体要求、对食堂工作人员的要求，让每位工作人员明确工作程序，规范地开展幼儿一日生活各环节的保育工作。 六、家长工作：家园合作，有序开展 《纲要》中提出：家庭是幼儿园重要的合作伙伴。本着这种理念，把做好家长工作作为我园的工作重点之一。每学期开始要求老师们制定好家长工作计划，有目的有计划地开展各项家长活动。 3月份，我园召开了新学期的家长会，让家长们了解学校本学期的计划，配合好班级的各项工作。4月份，我园开展了亲子劳动实践活动，在孩子们体验快乐、收获的同时，也促进了亲子之间的感情，拉近了家长与老师之间的距离。5月份，我园召开了安全及创建工作家长会和大班幼小衔接家长会 “倾听儿童、相伴成长”主题家长会，同时还开展了中小班亲子跳蚤市场活动，大班亲子参观消防队活动，家长半日体验活动。6月份，中小班开展了幼小衔接线下家长课堂，家长半日开放活动，大班毕业典礼，中小班期末总结。 我们的家长工作以多种形式开展着，在每年一次的家长问卷调查中，家长对老师的满意度还是很高的，相信我们的家长会一直理解、支持我们的工作的。 七、思考与展望 教师的业务能力还有待加强，在教师的成长上还需花费一定的精力。教科研能力急需加强，我要以身作则，从自我做起，带领大家多些写论文。 以上是对我园本学期工作的总结，有收获也有不足，我们将在以后的日子里，团结一致，共同努力，争取把各项工作做得更好。 2023.6 </w:t>
            </w:r>
          </w:p>
          <w:p w14:paraId="0EB2EFDB">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239F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44F1505F">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628A7872">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桃教发办学许可证201509024</w:t>
            </w:r>
          </w:p>
        </w:tc>
      </w:tr>
      <w:tr w14:paraId="4093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57F94CCC">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2AC6D01B">
            <w:pPr>
              <w:jc w:val="left"/>
            </w:pPr>
            <w:r>
              <w:rPr>
                <w:rStyle w:val="19"/>
                <w:rFonts w:hint="eastAsia" w:ascii="楷体_GB2312" w:eastAsia="楷体_GB2312" w:cs="楷体_GB2312"/>
                <w:sz w:val="28"/>
                <w:szCs w:val="28"/>
                <w:bdr w:val="none" w:color="auto" w:sz="0" w:space="0"/>
                <w:lang w:val="en-US"/>
              </w:rPr>
              <w:t>无</w:t>
            </w:r>
          </w:p>
        </w:tc>
      </w:tr>
      <w:tr w14:paraId="20E7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2D6CFF55">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7396E480">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455DE4D0">
            <w:pPr>
              <w:jc w:val="left"/>
            </w:pPr>
            <w:r>
              <w:rPr>
                <w:rStyle w:val="19"/>
                <w:rFonts w:hint="eastAsia" w:ascii="楷体_GB2312" w:eastAsia="楷体_GB2312" w:cs="楷体_GB2312"/>
                <w:sz w:val="28"/>
                <w:szCs w:val="28"/>
                <w:bdr w:val="none" w:color="auto" w:sz="0" w:space="0"/>
                <w:lang w:val="en-US"/>
              </w:rPr>
              <w:t>无</w:t>
            </w:r>
          </w:p>
        </w:tc>
      </w:tr>
    </w:tbl>
    <w:p w14:paraId="21ED5126">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5F0B75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6"/>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4"/>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眉 Char"/>
    <w:basedOn w:val="13"/>
    <w:link w:val="9"/>
    <w:locked/>
    <w:uiPriority w:val="0"/>
    <w:rPr>
      <w:rFonts w:hint="default" w:ascii="Times New Roman" w:hAnsi="Times New Roman" w:eastAsia="宋体" w:cs="Times New Roman"/>
      <w:sz w:val="18"/>
      <w:szCs w:val="18"/>
    </w:rPr>
  </w:style>
  <w:style w:type="character" w:customStyle="1" w:styleId="15">
    <w:name w:val="font21"/>
    <w:basedOn w:val="13"/>
    <w:uiPriority w:val="0"/>
    <w:rPr>
      <w:rFonts w:hint="default" w:ascii="Times New Roman" w:hAnsi="Times New Roman" w:eastAsia="楷体_GB2312" w:cs="Times New Roman"/>
      <w:sz w:val="30"/>
      <w:szCs w:val="24"/>
    </w:rPr>
  </w:style>
  <w:style w:type="character" w:customStyle="1" w:styleId="16">
    <w:name w:val="页脚 Char"/>
    <w:basedOn w:val="13"/>
    <w:link w:val="8"/>
    <w:locked/>
    <w:uiPriority w:val="0"/>
    <w:rPr>
      <w:rFonts w:hint="default" w:ascii="Times New Roman" w:hAnsi="Times New Roman" w:eastAsia="宋体" w:cs="Times New Roman"/>
      <w:sz w:val="18"/>
      <w:szCs w:val="18"/>
    </w:rPr>
  </w:style>
  <w:style w:type="character" w:customStyle="1" w:styleId="17">
    <w:name w:val="font51"/>
    <w:basedOn w:val="13"/>
    <w:uiPriority w:val="0"/>
    <w:rPr>
      <w:rFonts w:hint="eastAsia" w:ascii="黑体" w:hAnsi="宋体" w:eastAsia="黑体" w:cs="黑体"/>
      <w:sz w:val="36"/>
      <w:szCs w:val="24"/>
    </w:rPr>
  </w:style>
  <w:style w:type="character" w:customStyle="1" w:styleId="18">
    <w:name w:val="font61"/>
    <w:basedOn w:val="13"/>
    <w:uiPriority w:val="0"/>
    <w:rPr>
      <w:rFonts w:hint="default" w:ascii="Times New Roman" w:hAnsi="Times New Roman" w:eastAsia="楷体_GB2312" w:cs="Times New Roman"/>
      <w:sz w:val="32"/>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7</Pages>
  <Words>2676</Words>
  <Characters>2738</Characters>
  <Lines>4</Lines>
  <Paragraphs>1</Paragraphs>
  <TotalTime>45456.6562500016</TotalTime>
  <ScaleCrop>false</ScaleCrop>
  <LinksUpToDate>false</LinksUpToDate>
  <CharactersWithSpaces>2808</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2024-06-13T08:14:01Z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68197EDC234045D4AB12B4C3181BC8E8_13</vt:lpwstr>
  </property>
</Properties>
</file>