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FF7D8">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5AF31AC">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12430922696211681P</w:t>
      </w:r>
      <w:r>
        <w:rPr>
          <w:rFonts w:eastAsia="楷体_GB2312"/>
          <w:b/>
          <w:bCs/>
          <w:sz w:val="30"/>
          <w:szCs w:val="24"/>
          <w:lang w:val="en-US"/>
        </w:rPr>
        <w:t xml:space="preserve">   </w:t>
      </w:r>
    </w:p>
    <w:p w14:paraId="6EE7A744">
      <w:pPr>
        <w:jc w:val="right"/>
        <w:rPr>
          <w:lang w:val="en-US"/>
        </w:rPr>
      </w:pPr>
    </w:p>
    <w:p w14:paraId="1B3B0776">
      <w:pPr>
        <w:jc w:val="right"/>
        <w:rPr>
          <w:lang w:val="en-US"/>
        </w:rPr>
      </w:pPr>
    </w:p>
    <w:p w14:paraId="653840E8">
      <w:pPr>
        <w:jc w:val="right"/>
        <w:rPr>
          <w:lang w:val="en-US"/>
        </w:rPr>
      </w:pPr>
    </w:p>
    <w:p w14:paraId="1510475B">
      <w:pPr>
        <w:jc w:val="right"/>
        <w:rPr>
          <w:lang w:val="en-US"/>
        </w:rPr>
      </w:pPr>
    </w:p>
    <w:p w14:paraId="6EBF701E">
      <w:pPr>
        <w:jc w:val="right"/>
        <w:rPr>
          <w:lang w:val="en-US"/>
        </w:rPr>
      </w:pPr>
    </w:p>
    <w:p w14:paraId="7B3DD15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1914E19">
      <w:pPr>
        <w:jc w:val="center"/>
        <w:rPr>
          <w:rFonts w:eastAsia="黑体"/>
          <w:b/>
          <w:bCs/>
          <w:spacing w:val="30"/>
          <w:lang w:val="en-US"/>
        </w:rPr>
      </w:pPr>
    </w:p>
    <w:p w14:paraId="700590C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E542F97">
      <w:pPr>
        <w:jc w:val="center"/>
        <w:rPr>
          <w:sz w:val="36"/>
          <w:szCs w:val="24"/>
          <w:lang w:val="en-US"/>
        </w:rPr>
      </w:pPr>
    </w:p>
    <w:p w14:paraId="3E14A678">
      <w:pPr>
        <w:jc w:val="center"/>
        <w:rPr>
          <w:sz w:val="36"/>
          <w:szCs w:val="24"/>
          <w:lang w:val="en-US"/>
        </w:rPr>
      </w:pPr>
    </w:p>
    <w:p w14:paraId="4561E6BF">
      <w:pPr>
        <w:jc w:val="center"/>
        <w:rPr>
          <w:sz w:val="36"/>
          <w:szCs w:val="24"/>
          <w:lang w:val="en-US"/>
        </w:rPr>
      </w:pPr>
    </w:p>
    <w:p w14:paraId="457CA7AC">
      <w:pPr>
        <w:jc w:val="center"/>
        <w:rPr>
          <w:sz w:val="36"/>
          <w:szCs w:val="24"/>
          <w:lang w:val="en-US"/>
        </w:rPr>
      </w:pPr>
    </w:p>
    <w:p w14:paraId="314FB2F9">
      <w:pPr>
        <w:jc w:val="center"/>
        <w:rPr>
          <w:sz w:val="36"/>
          <w:szCs w:val="24"/>
          <w:lang w:val="en-US"/>
        </w:rPr>
      </w:pPr>
    </w:p>
    <w:p w14:paraId="38A29B4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250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E87FF21">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EC4F0CC">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桃江县桃花江国家森林公园管理处</w:t>
            </w:r>
          </w:p>
        </w:tc>
      </w:tr>
    </w:tbl>
    <w:p w14:paraId="2974188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E87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E6653BD">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4B4DB0A">
            <w:pPr>
              <w:keepNext w:val="0"/>
              <w:keepLines w:val="0"/>
              <w:widowControl/>
              <w:suppressLineNumbers w:val="0"/>
              <w:jc w:val="left"/>
              <w:rPr>
                <w:kern w:val="0"/>
                <w:sz w:val="20"/>
                <w:szCs w:val="20"/>
                <w:bdr w:val="none" w:color="auto" w:sz="0" w:space="0"/>
                <w:lang w:val="en-US"/>
              </w:rPr>
            </w:pPr>
          </w:p>
        </w:tc>
      </w:tr>
    </w:tbl>
    <w:p w14:paraId="3C98A134">
      <w:pPr>
        <w:ind w:left="0" w:firstLine="723" w:firstLineChars="300"/>
        <w:rPr>
          <w:rFonts w:hint="eastAsia" w:ascii="黑体" w:hAnsi="宋体" w:eastAsia="黑体" w:cs="黑体"/>
          <w:b/>
          <w:bCs/>
          <w:sz w:val="24"/>
          <w:szCs w:val="24"/>
          <w:u w:val="single"/>
          <w:lang w:val="en-US"/>
        </w:rPr>
      </w:pPr>
    </w:p>
    <w:p w14:paraId="204CD060">
      <w:pPr>
        <w:jc w:val="center"/>
        <w:rPr>
          <w:rFonts w:hint="eastAsia" w:ascii="黑体" w:hAnsi="宋体" w:eastAsia="黑体" w:cs="黑体"/>
          <w:b/>
          <w:bCs/>
          <w:sz w:val="30"/>
          <w:szCs w:val="24"/>
          <w:u w:val="single"/>
          <w:lang w:val="en-US"/>
        </w:rPr>
      </w:pPr>
    </w:p>
    <w:p w14:paraId="7549800C">
      <w:pPr>
        <w:jc w:val="center"/>
        <w:rPr>
          <w:rFonts w:hint="eastAsia" w:ascii="黑体" w:hAnsi="宋体" w:eastAsia="黑体" w:cs="黑体"/>
          <w:b/>
          <w:bCs/>
          <w:sz w:val="30"/>
          <w:szCs w:val="24"/>
          <w:u w:val="single"/>
          <w:lang w:val="en-US"/>
        </w:rPr>
      </w:pPr>
    </w:p>
    <w:p w14:paraId="0C8716F6">
      <w:pPr>
        <w:jc w:val="center"/>
        <w:rPr>
          <w:u w:val="single"/>
          <w:lang w:val="en-US"/>
        </w:rPr>
      </w:pPr>
    </w:p>
    <w:p w14:paraId="273DC3B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F279526">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481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AC7ED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B6495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B0B3E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E078F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03690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A30AF1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86411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EA348F3">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桃江县桃花江国家森林公园管理处</w:t>
            </w:r>
          </w:p>
        </w:tc>
      </w:tr>
      <w:tr w14:paraId="5AD1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D95A0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DD25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E44A0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32A4D3C">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负责桃江县桃花江国家森林公园的管理与开发工作</w:t>
            </w:r>
          </w:p>
        </w:tc>
      </w:tr>
      <w:tr w14:paraId="4EBA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D0AAF1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A627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33A7EB2">
            <w:pPr>
              <w:jc w:val="left"/>
            </w:pPr>
            <w:r>
              <w:rPr>
                <w:rStyle w:val="19"/>
                <w:rFonts w:hint="eastAsia" w:ascii="楷体_GB2312" w:eastAsia="楷体_GB2312" w:cs="楷体_GB2312"/>
                <w:sz w:val="28"/>
                <w:szCs w:val="28"/>
                <w:bdr w:val="none" w:color="auto" w:sz="0" w:space="0"/>
                <w:lang w:val="en-US"/>
              </w:rPr>
              <w:t>桃江县桃花江镇谷山路353号</w:t>
            </w:r>
          </w:p>
        </w:tc>
      </w:tr>
      <w:tr w14:paraId="1437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D9CCA8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E46EE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E4C636">
            <w:pPr>
              <w:jc w:val="left"/>
            </w:pPr>
            <w:r>
              <w:rPr>
                <w:rStyle w:val="19"/>
                <w:rFonts w:hint="eastAsia" w:ascii="楷体_GB2312" w:eastAsia="楷体_GB2312" w:cs="楷体_GB2312"/>
                <w:sz w:val="28"/>
                <w:szCs w:val="28"/>
                <w:bdr w:val="none" w:color="auto" w:sz="0" w:space="0"/>
                <w:lang w:val="en-US"/>
              </w:rPr>
              <w:t>胡盛武</w:t>
            </w:r>
          </w:p>
        </w:tc>
      </w:tr>
      <w:tr w14:paraId="1E98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48757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E9DB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56423CD">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38.68</w:t>
            </w:r>
            <w:r>
              <w:rPr>
                <w:rStyle w:val="19"/>
                <w:rFonts w:hint="eastAsia" w:ascii="楷体_GB2312" w:eastAsia="楷体_GB2312" w:cs="楷体_GB2312"/>
                <w:sz w:val="28"/>
                <w:szCs w:val="28"/>
                <w:bdr w:val="none" w:color="auto" w:sz="0" w:space="0"/>
              </w:rPr>
              <w:t>（万元）</w:t>
            </w:r>
          </w:p>
        </w:tc>
      </w:tr>
      <w:tr w14:paraId="3F85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5BCA60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DD99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F88F689">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60C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FECECD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7C61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7801A3E">
            <w:pPr>
              <w:jc w:val="left"/>
            </w:pPr>
            <w:r>
              <w:rPr>
                <w:rStyle w:val="19"/>
                <w:rFonts w:hint="eastAsia" w:ascii="楷体_GB2312" w:eastAsia="楷体_GB2312" w:cs="楷体_GB2312"/>
                <w:sz w:val="28"/>
                <w:szCs w:val="28"/>
                <w:bdr w:val="none" w:color="auto" w:sz="0" w:space="0"/>
                <w:lang w:val="en-US"/>
              </w:rPr>
              <w:t>桃江县人民政府</w:t>
            </w:r>
          </w:p>
        </w:tc>
      </w:tr>
      <w:tr w14:paraId="7FCD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AA2CCA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58CF4C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15DCBB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EF8C1CC">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57F1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3FAEE5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CF417CC">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62B97F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54A6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FFBFA4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1E5AB90">
            <w:pPr>
              <w:jc w:val="center"/>
              <w:rPr>
                <w:sz w:val="32"/>
                <w:szCs w:val="24"/>
                <w:bdr w:val="none" w:color="auto" w:sz="0" w:space="0"/>
                <w:lang w:val="en-US"/>
              </w:rPr>
            </w:pPr>
            <w:r>
              <w:rPr>
                <w:rStyle w:val="18"/>
                <w:sz w:val="32"/>
                <w:szCs w:val="24"/>
                <w:bdr w:val="none" w:color="auto" w:sz="0" w:space="0"/>
                <w:lang w:val="en-US"/>
              </w:rPr>
              <w:t>41.5314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16D6D1E">
            <w:pPr>
              <w:jc w:val="center"/>
            </w:pPr>
            <w:r>
              <w:rPr>
                <w:rStyle w:val="19"/>
                <w:sz w:val="32"/>
                <w:szCs w:val="32"/>
                <w:bdr w:val="none" w:color="auto" w:sz="0" w:space="0"/>
                <w:lang w:val="en-US"/>
              </w:rPr>
              <w:t>39.5244</w:t>
            </w:r>
          </w:p>
        </w:tc>
      </w:tr>
      <w:tr w14:paraId="755C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13EA14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463D9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桃江县桃花江国家森林公园管理处.公益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5AB9A1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DD5AF68">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19</w:t>
            </w:r>
          </w:p>
        </w:tc>
      </w:tr>
      <w:tr w14:paraId="1E4E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45337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138F3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37475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39AD02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1CD38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46F63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3534D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ECE526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042BA3C">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w:t>
            </w:r>
          </w:p>
        </w:tc>
      </w:tr>
      <w:tr w14:paraId="55A8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8ECDD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19AE3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B9657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2F79A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98CB0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210C0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2664C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4C2D2D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4D7629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（一）主要工作情况 1、全力配合竹海创4A旅游景区建设。一是景观塔（森林防灭火瞭望塔）项目方面，拆除原铁塔，完成场地平整、塔吊安装、设备间和消防水池建设，旋控柱、承台等都已完成，设计图审已通过并发放用地规划及施工许可，预计年底完成总工程量的100%。二是天问书院改造项目方面，原观竹楼加固、新建工程主体建设及内部装修施工都已完成。 2、问需于民深入开展调查研究工作。出台《大兴调查研究深入开展“走访国有林场，查找问题，千方百计促发展”活动实施方案》《关于印发&lt;调研问题责任包干工作任务分解表&gt;的通知》。紧紧围绕党的二十大精神，深入查找本系统存在的突出矛盾，切实解决各项疑难遗留问题。预计至2023年底，开展调研60余次，召开座谈会40余次，收集问题36个，并逐项解决。 3、因地制宜夯实发展基础。一是推进生态修护，我处通过补植红锥、青冈栎、香樟等方式，修护退化林800余亩、湿地100余亩。二是提升森林质量，通过林相改造、森林抚育等手段，采取“珍稀树种+乡土树种”的改造模式，抚育并改造森林2832亩。三是面对二十年一遇“旱极而蝗”的竹蝗灾害，坚持早筹备、早部署，广泛动员，科学防治，大力开展地毯式排查、扑杀，防治成效突出，确保了竹林葱郁，林场治蝗工作获新华社湖南分社正面宣传和县政府主要领导批示。 4、整体谋划完善林长制体系。根据省、市、县全面推行林长制相关会议和文件要求，构建管理处二级机构（景区）二级林长体系，组建“一长四员”（林长+监管员+执法人员+林业科技员+护林员）监督管理体系，常态化开展森林资源的监测监管，并建立巡林提醒、巡林日志和巡林登记制度，各林场巡林员累计开展巡林600余次。 5、发挥所长聚焦“一场一特”。桃花江林场重点开展主题公园和240余亩的油茶林示范基地建设；浮邱山林场以千年古银杏林为依托，推进省级秀美林场建设；石井头林场依托地力优势，150亩富硒茶园初具雏形。林科所商外租方发展笋竹两用林基地与林下经济，已建成成熟笋竹两用林800余亩。 6、稳中求进打通发展渠道。完成桃花江林场白京洞工区生态管护用房扫尾工程和三峰洞饮用水工程建设；完成浮邱山林场仑顶防火监测站主体工程，2023年新建森林防火监测系统与省系统同步并正常运行；发展桃花江林场林下经济，完成1000亩竹笋丰产示范基地建设；打造了桃花江林场名贵观赏种竹基地；联合正忠科技公司开展毛竹索道运输装备试点建设。 7、精准施策守牢安全防线。一是健全一批防火设施。建设生物防火带43.5公里，设置物理阻隔带20余处。桃花江林场的35公里生物防火林带建设标准高力度大，是全县、全益阳市的标准化建设示范点。建设和提质加固消防蓄水池共45个。二是用好一批先进设备，购置无人机3架，森林防灭火监控设施2套。三是做好一场长效宣传，累计出动宣传车200余台次、无人机60余次，发放宣传并张贴宣传单2500余份。 8、多措并举提高应急效率。一是培养一支应急队伍，组建一支25人的专业森林防灭火救援队，切实提升应急能力。二是完善一个应急预案，严格落实隐患排查制度，及时发现并解决安全隐患。三是绘制一张“生命之图”，以工区为单位，卫星图为底图，将地形地貌，林道、防火道、进出路径分布，河流、蓄水池、取水点（池塘）分布，临近村委及联系方式，工区人员和物资储备等“5大要素”全面汇总、精细标注，形成科学实用的森林防灭火立体示意图，确保能在最短时间内制定有效处突方案。四是开展一次应急培训，组织全系统干职工参加业务培训，联合所在镇、村开展森林防灭火演练，提升了干职工工作能力和专业素养。 </w:t>
            </w:r>
          </w:p>
          <w:p w14:paraId="2BCB96E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B48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3200C6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378B84A">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76B9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54BAFE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5530A4B">
            <w:pPr>
              <w:jc w:val="left"/>
            </w:pPr>
            <w:r>
              <w:rPr>
                <w:rStyle w:val="19"/>
                <w:rFonts w:hint="eastAsia" w:ascii="楷体_GB2312" w:eastAsia="楷体_GB2312" w:cs="楷体_GB2312"/>
                <w:sz w:val="28"/>
                <w:szCs w:val="28"/>
                <w:bdr w:val="none" w:color="auto" w:sz="0" w:space="0"/>
                <w:lang w:val="en-US"/>
              </w:rPr>
              <w:t>无</w:t>
            </w:r>
          </w:p>
        </w:tc>
      </w:tr>
      <w:tr w14:paraId="148A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29CA27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C40D07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D4B587D">
            <w:pPr>
              <w:jc w:val="left"/>
            </w:pPr>
            <w:r>
              <w:rPr>
                <w:rStyle w:val="19"/>
                <w:rFonts w:hint="eastAsia" w:ascii="楷体_GB2312" w:eastAsia="楷体_GB2312" w:cs="楷体_GB2312"/>
                <w:sz w:val="28"/>
                <w:szCs w:val="28"/>
                <w:bdr w:val="none" w:color="auto" w:sz="0" w:space="0"/>
                <w:lang w:val="en-US"/>
              </w:rPr>
              <w:t>无</w:t>
            </w:r>
          </w:p>
        </w:tc>
      </w:tr>
    </w:tbl>
    <w:p w14:paraId="31A018E0">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8914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1778</Words>
  <Characters>1876</Characters>
  <Lines>4</Lines>
  <Paragraphs>1</Paragraphs>
  <TotalTime>45456.4062500016</TotalTime>
  <ScaleCrop>false</ScaleCrop>
  <LinksUpToDate>false</LinksUpToDate>
  <CharactersWithSpaces>1920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2024-06-13T02:08:42Z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1CAE467910A24B208EB5ADC769A873F9_13</vt:lpwstr>
  </property>
</Properties>
</file>