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9BFB2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A33FA2F">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12430922MB0N471176</w:t>
      </w:r>
      <w:r>
        <w:rPr>
          <w:rFonts w:eastAsia="楷体_GB2312"/>
          <w:b/>
          <w:bCs/>
          <w:sz w:val="30"/>
          <w:szCs w:val="24"/>
          <w:lang w:val="en-US"/>
        </w:rPr>
        <w:t xml:space="preserve">   </w:t>
      </w:r>
    </w:p>
    <w:p w14:paraId="616F69CA">
      <w:pPr>
        <w:jc w:val="right"/>
        <w:rPr>
          <w:lang w:val="en-US"/>
        </w:rPr>
      </w:pPr>
    </w:p>
    <w:p w14:paraId="13DB9CF4">
      <w:pPr>
        <w:jc w:val="right"/>
        <w:rPr>
          <w:lang w:val="en-US"/>
        </w:rPr>
      </w:pPr>
    </w:p>
    <w:p w14:paraId="54F920FC">
      <w:pPr>
        <w:jc w:val="right"/>
        <w:rPr>
          <w:lang w:val="en-US"/>
        </w:rPr>
      </w:pPr>
    </w:p>
    <w:p w14:paraId="5B82F76E">
      <w:pPr>
        <w:jc w:val="right"/>
        <w:rPr>
          <w:lang w:val="en-US"/>
        </w:rPr>
      </w:pPr>
    </w:p>
    <w:p w14:paraId="0927B291">
      <w:pPr>
        <w:jc w:val="right"/>
        <w:rPr>
          <w:lang w:val="en-US"/>
        </w:rPr>
      </w:pPr>
    </w:p>
    <w:p w14:paraId="42ED2AEC">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960F05C">
      <w:pPr>
        <w:jc w:val="center"/>
        <w:rPr>
          <w:rFonts w:eastAsia="黑体"/>
          <w:b/>
          <w:bCs/>
          <w:spacing w:val="30"/>
          <w:lang w:val="en-US"/>
        </w:rPr>
      </w:pPr>
    </w:p>
    <w:p w14:paraId="56A6F014">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732CE66">
      <w:pPr>
        <w:jc w:val="center"/>
        <w:rPr>
          <w:sz w:val="36"/>
          <w:szCs w:val="24"/>
          <w:lang w:val="en-US"/>
        </w:rPr>
      </w:pPr>
    </w:p>
    <w:p w14:paraId="68FCDF42">
      <w:pPr>
        <w:jc w:val="center"/>
        <w:rPr>
          <w:sz w:val="36"/>
          <w:szCs w:val="24"/>
          <w:lang w:val="en-US"/>
        </w:rPr>
      </w:pPr>
    </w:p>
    <w:p w14:paraId="44C823E4">
      <w:pPr>
        <w:jc w:val="center"/>
        <w:rPr>
          <w:sz w:val="36"/>
          <w:szCs w:val="24"/>
          <w:lang w:val="en-US"/>
        </w:rPr>
      </w:pPr>
    </w:p>
    <w:p w14:paraId="7FB7CDE2">
      <w:pPr>
        <w:jc w:val="center"/>
        <w:rPr>
          <w:sz w:val="36"/>
          <w:szCs w:val="24"/>
          <w:lang w:val="en-US"/>
        </w:rPr>
      </w:pPr>
    </w:p>
    <w:p w14:paraId="4E6CE36B">
      <w:pPr>
        <w:jc w:val="center"/>
        <w:rPr>
          <w:sz w:val="36"/>
          <w:szCs w:val="24"/>
          <w:lang w:val="en-US"/>
        </w:rPr>
      </w:pPr>
    </w:p>
    <w:p w14:paraId="6637CD81">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39E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578824D">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0DBBE11">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桃江县投资促进服务中心</w:t>
            </w:r>
          </w:p>
        </w:tc>
      </w:tr>
    </w:tbl>
    <w:p w14:paraId="73184341">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815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27CEEA3C">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FBD640D">
            <w:pPr>
              <w:keepNext w:val="0"/>
              <w:keepLines w:val="0"/>
              <w:widowControl/>
              <w:suppressLineNumbers w:val="0"/>
              <w:jc w:val="left"/>
              <w:rPr>
                <w:kern w:val="0"/>
                <w:sz w:val="20"/>
                <w:szCs w:val="20"/>
                <w:bdr w:val="none" w:color="auto" w:sz="0" w:space="0"/>
                <w:lang w:val="en-US"/>
              </w:rPr>
            </w:pPr>
          </w:p>
        </w:tc>
      </w:tr>
    </w:tbl>
    <w:p w14:paraId="2CF98854">
      <w:pPr>
        <w:ind w:left="0" w:firstLine="723" w:firstLineChars="300"/>
        <w:rPr>
          <w:rFonts w:hint="eastAsia" w:ascii="黑体" w:hAnsi="宋体" w:eastAsia="黑体" w:cs="黑体"/>
          <w:b/>
          <w:bCs/>
          <w:sz w:val="24"/>
          <w:szCs w:val="24"/>
          <w:u w:val="single"/>
          <w:lang w:val="en-US"/>
        </w:rPr>
      </w:pPr>
    </w:p>
    <w:p w14:paraId="52736BF5">
      <w:pPr>
        <w:jc w:val="center"/>
        <w:rPr>
          <w:rFonts w:hint="eastAsia" w:ascii="黑体" w:hAnsi="宋体" w:eastAsia="黑体" w:cs="黑体"/>
          <w:b/>
          <w:bCs/>
          <w:sz w:val="30"/>
          <w:szCs w:val="24"/>
          <w:u w:val="single"/>
          <w:lang w:val="en-US"/>
        </w:rPr>
      </w:pPr>
    </w:p>
    <w:p w14:paraId="3097B061">
      <w:pPr>
        <w:jc w:val="center"/>
        <w:rPr>
          <w:rFonts w:hint="eastAsia" w:ascii="黑体" w:hAnsi="宋体" w:eastAsia="黑体" w:cs="黑体"/>
          <w:b/>
          <w:bCs/>
          <w:sz w:val="30"/>
          <w:szCs w:val="24"/>
          <w:u w:val="single"/>
          <w:lang w:val="en-US"/>
        </w:rPr>
      </w:pPr>
    </w:p>
    <w:p w14:paraId="5F679D35">
      <w:pPr>
        <w:jc w:val="center"/>
        <w:rPr>
          <w:u w:val="single"/>
          <w:lang w:val="en-US"/>
        </w:rPr>
      </w:pPr>
    </w:p>
    <w:p w14:paraId="0CD4ECCC">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ABF5B78">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F3C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A3B10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C0D972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05A40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70607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5101D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9022B7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D0A18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85DEF07">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桃江县投资促进服务中心</w:t>
            </w:r>
          </w:p>
        </w:tc>
      </w:tr>
      <w:tr w14:paraId="2EF3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BA8B6C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81DDD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23495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2B9ADAB">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投资项目的开发论证、包装和推介工作；负责收集、汇总、建立招商引资客户档案；协调参与重大招商引资活动的策划、组织和信息管理；负责外来投资者的接待、联络、洽谈、考察等具体工作；负责外出考察项目的对接联络工作；负责县一级重点招商引资项目的跟踪调度和协调推进；为投资者提供咨询服务及代办县级政府权限内有关行政审批事项和服务性事项。</w:t>
            </w:r>
          </w:p>
        </w:tc>
      </w:tr>
      <w:tr w14:paraId="0A32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01E294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8D3A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DB2479A">
            <w:pPr>
              <w:jc w:val="left"/>
            </w:pPr>
            <w:r>
              <w:rPr>
                <w:rStyle w:val="19"/>
                <w:rFonts w:hint="eastAsia" w:ascii="楷体_GB2312" w:eastAsia="楷体_GB2312" w:cs="楷体_GB2312"/>
                <w:sz w:val="28"/>
                <w:szCs w:val="28"/>
                <w:bdr w:val="none" w:color="auto" w:sz="0" w:space="0"/>
                <w:lang w:val="en-US"/>
              </w:rPr>
              <w:t>桃江县文化路41号</w:t>
            </w:r>
          </w:p>
        </w:tc>
      </w:tr>
      <w:tr w14:paraId="58BD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A6EF77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01607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63E70AB">
            <w:pPr>
              <w:jc w:val="left"/>
            </w:pPr>
            <w:r>
              <w:rPr>
                <w:rStyle w:val="19"/>
                <w:rFonts w:hint="eastAsia" w:ascii="楷体_GB2312" w:eastAsia="楷体_GB2312" w:cs="楷体_GB2312"/>
                <w:sz w:val="28"/>
                <w:szCs w:val="28"/>
                <w:bdr w:val="none" w:color="auto" w:sz="0" w:space="0"/>
                <w:lang w:val="en-US"/>
              </w:rPr>
              <w:t>孙俊</w:t>
            </w:r>
          </w:p>
        </w:tc>
      </w:tr>
      <w:tr w14:paraId="5D74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903766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0B300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9F3D910">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33</w:t>
            </w:r>
            <w:r>
              <w:rPr>
                <w:rStyle w:val="19"/>
                <w:rFonts w:hint="eastAsia" w:ascii="楷体_GB2312" w:eastAsia="楷体_GB2312" w:cs="楷体_GB2312"/>
                <w:sz w:val="28"/>
                <w:szCs w:val="28"/>
                <w:bdr w:val="none" w:color="auto" w:sz="0" w:space="0"/>
              </w:rPr>
              <w:t>（万元）</w:t>
            </w:r>
          </w:p>
        </w:tc>
      </w:tr>
      <w:tr w14:paraId="4CFA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8015C0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9EC2F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E1ACE53">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4A9E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FF341A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D472A7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51D86B2">
            <w:pPr>
              <w:jc w:val="left"/>
            </w:pPr>
            <w:r>
              <w:rPr>
                <w:rStyle w:val="19"/>
                <w:rFonts w:hint="eastAsia" w:ascii="楷体_GB2312" w:eastAsia="楷体_GB2312" w:cs="楷体_GB2312"/>
                <w:sz w:val="28"/>
                <w:szCs w:val="28"/>
                <w:bdr w:val="none" w:color="auto" w:sz="0" w:space="0"/>
                <w:lang w:val="en-US"/>
              </w:rPr>
              <w:t>桃江县商务局</w:t>
            </w:r>
          </w:p>
        </w:tc>
      </w:tr>
      <w:tr w14:paraId="247A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3A097D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2FBAAE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C11F36A">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635F31A7">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13E9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B019D6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16286A1">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EA2E6F4">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36B0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84F795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E87D3C1">
            <w:pPr>
              <w:jc w:val="center"/>
              <w:rPr>
                <w:sz w:val="32"/>
                <w:szCs w:val="24"/>
                <w:bdr w:val="none" w:color="auto" w:sz="0" w:space="0"/>
                <w:lang w:val="en-US"/>
              </w:rPr>
            </w:pPr>
            <w:r>
              <w:rPr>
                <w:rStyle w:val="14"/>
                <w:sz w:val="32"/>
                <w:szCs w:val="24"/>
                <w:bdr w:val="none" w:color="auto" w:sz="0" w:space="0"/>
                <w:lang w:val="en-US"/>
              </w:rPr>
              <w:t>154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B366BB1">
            <w:pPr>
              <w:jc w:val="center"/>
            </w:pPr>
            <w:r>
              <w:rPr>
                <w:rStyle w:val="19"/>
                <w:sz w:val="32"/>
                <w:szCs w:val="32"/>
                <w:bdr w:val="none" w:color="auto" w:sz="0" w:space="0"/>
                <w:lang w:val="en-US"/>
              </w:rPr>
              <w:t>149</w:t>
            </w:r>
          </w:p>
        </w:tc>
      </w:tr>
      <w:tr w14:paraId="7DA9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03487A4">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6138E4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桃江县投资促进服务中心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AB85D4F">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BA643A9">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20</w:t>
            </w:r>
          </w:p>
        </w:tc>
      </w:tr>
      <w:tr w14:paraId="09DE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87151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DD336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72045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220B7C8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609253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07BEA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A5215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6C3AC6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7BDDA06">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严格按照《条例》和实施细则有关规定执行，本年度未更换法人。</w:t>
            </w:r>
          </w:p>
        </w:tc>
      </w:tr>
      <w:tr w14:paraId="29F9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38947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4466C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066F5F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655F20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904FD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DE1438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F7981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A824E21">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63F0ED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1、开展业务活动情况：2023年我县引进外商直接投资21万美元，完成市下达任务320万美元的6.56%；引进省外境内资金124.57亿元，完成市下达任务数120亿元的103.81%；引进域外省内资金5.01亿元，完成市下达任务4.9亿元的102.24%；引进湘商回湘投资累计到位资金16.47亿元，完成市下达任务32亿元的51.47%；引进湘商回湘新注册企业13家,完成市下达任务15个的86.67%；上报新签约项目47个，完成市下达任务36个的130.56%；新开工项目34个，完成市下达任务30个的113.33%；新投产项目26个，完成市下达任务22个的118.18%。2、有关事项的说明： a.我单位具备事业单位法人条件；实际使用的名称与核准登记的名称一致，无擅自增加名称的行为；实际的住所与核准登记的住所一致；按照核准登记的宗旨和业务范围开展业务活动，无超出业务范围开展业务活动的行为； b.有关资质认可或执业许可有效；无抽逃、转移开办资金的行为；开办资金无变化，具备承担与宗旨和业务范围相适应的民事责任能力； c.接受捐赠、资助及使用情况，符合《条例》和其他有关规定； d.自核准登记后没有超过一年未开展业务活动或自行停止业务活动一年以上； e.无涂改、出租、出借《事业单位法人证书》或者出租、出借印章的行为； f.无依法纳税的义务； g.无违约和社会投诉情况以及涉及诉讼情况； h.营利性事业单位没有公务员兼职的情况； i.没有其他需要报告和审查的事项。 3、无其他存在的问题及相应的改进措施。 </w:t>
            </w:r>
          </w:p>
          <w:p w14:paraId="3FA7117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5435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C21D29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80A5A8F">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055A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CF04439">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8B73FC1">
            <w:pPr>
              <w:jc w:val="left"/>
            </w:pPr>
            <w:r>
              <w:rPr>
                <w:rStyle w:val="19"/>
                <w:rFonts w:hint="eastAsia" w:ascii="楷体_GB2312" w:eastAsia="楷体_GB2312" w:cs="楷体_GB2312"/>
                <w:sz w:val="28"/>
                <w:szCs w:val="28"/>
                <w:bdr w:val="none" w:color="auto" w:sz="0" w:space="0"/>
                <w:lang w:val="en-US"/>
              </w:rPr>
              <w:t>无</w:t>
            </w:r>
          </w:p>
        </w:tc>
      </w:tr>
      <w:tr w14:paraId="21AF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2347022">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E3480E1">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2664C47">
            <w:pPr>
              <w:jc w:val="left"/>
            </w:pPr>
            <w:r>
              <w:rPr>
                <w:rStyle w:val="19"/>
                <w:rFonts w:hint="eastAsia" w:ascii="楷体_GB2312" w:eastAsia="楷体_GB2312" w:cs="楷体_GB2312"/>
                <w:sz w:val="28"/>
                <w:szCs w:val="28"/>
                <w:bdr w:val="none" w:color="auto" w:sz="0" w:space="0"/>
                <w:lang w:val="en-US"/>
              </w:rPr>
              <w:t>无</w:t>
            </w:r>
          </w:p>
        </w:tc>
      </w:tr>
    </w:tbl>
    <w:p w14:paraId="72E5ADF2">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FE14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1045</Words>
  <Characters>1171</Characters>
  <Lines>4</Lines>
  <Paragraphs>1</Paragraphs>
  <TotalTime>45455.6875000016</TotalTime>
  <ScaleCrop>false</ScaleCrop>
  <LinksUpToDate>false</LinksUpToDate>
  <CharactersWithSpaces>1217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2024-06-12T09:12:23Z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998F7DAC99204215AC15C65CE5D8B34C_13</vt:lpwstr>
  </property>
</Properties>
</file>