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1466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1CAF726">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12430922MB1J87387K</w:t>
      </w:r>
      <w:r>
        <w:rPr>
          <w:rFonts w:eastAsia="楷体_GB2312"/>
          <w:b/>
          <w:bCs/>
          <w:sz w:val="30"/>
          <w:szCs w:val="24"/>
          <w:lang w:val="en-US"/>
        </w:rPr>
        <w:t xml:space="preserve">   </w:t>
      </w:r>
    </w:p>
    <w:p w14:paraId="2E5B7ADB">
      <w:pPr>
        <w:jc w:val="right"/>
        <w:rPr>
          <w:lang w:val="en-US"/>
        </w:rPr>
      </w:pPr>
    </w:p>
    <w:p w14:paraId="0ACA0149">
      <w:pPr>
        <w:jc w:val="right"/>
        <w:rPr>
          <w:lang w:val="en-US"/>
        </w:rPr>
      </w:pPr>
    </w:p>
    <w:p w14:paraId="4EE9020D">
      <w:pPr>
        <w:jc w:val="right"/>
        <w:rPr>
          <w:lang w:val="en-US"/>
        </w:rPr>
      </w:pPr>
    </w:p>
    <w:p w14:paraId="2837156D">
      <w:pPr>
        <w:jc w:val="right"/>
        <w:rPr>
          <w:lang w:val="en-US"/>
        </w:rPr>
      </w:pPr>
    </w:p>
    <w:p w14:paraId="1656B19C">
      <w:pPr>
        <w:jc w:val="right"/>
        <w:rPr>
          <w:lang w:val="en-US"/>
        </w:rPr>
      </w:pPr>
    </w:p>
    <w:p w14:paraId="09A0BE1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7F9EA49">
      <w:pPr>
        <w:jc w:val="center"/>
        <w:rPr>
          <w:rFonts w:eastAsia="黑体"/>
          <w:b/>
          <w:bCs/>
          <w:spacing w:val="30"/>
          <w:lang w:val="en-US"/>
        </w:rPr>
      </w:pPr>
    </w:p>
    <w:p w14:paraId="69B7FFD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887508C">
      <w:pPr>
        <w:jc w:val="center"/>
        <w:rPr>
          <w:sz w:val="36"/>
          <w:szCs w:val="24"/>
          <w:lang w:val="en-US"/>
        </w:rPr>
      </w:pPr>
    </w:p>
    <w:p w14:paraId="68315FBB">
      <w:pPr>
        <w:jc w:val="center"/>
        <w:rPr>
          <w:sz w:val="36"/>
          <w:szCs w:val="24"/>
          <w:lang w:val="en-US"/>
        </w:rPr>
      </w:pPr>
    </w:p>
    <w:p w14:paraId="0CBDA675">
      <w:pPr>
        <w:jc w:val="center"/>
        <w:rPr>
          <w:sz w:val="36"/>
          <w:szCs w:val="24"/>
          <w:lang w:val="en-US"/>
        </w:rPr>
      </w:pPr>
    </w:p>
    <w:p w14:paraId="7C211A69">
      <w:pPr>
        <w:jc w:val="center"/>
        <w:rPr>
          <w:sz w:val="36"/>
          <w:szCs w:val="24"/>
          <w:lang w:val="en-US"/>
        </w:rPr>
      </w:pPr>
    </w:p>
    <w:p w14:paraId="060B3710">
      <w:pPr>
        <w:jc w:val="center"/>
        <w:rPr>
          <w:sz w:val="36"/>
          <w:szCs w:val="24"/>
          <w:lang w:val="en-US"/>
        </w:rPr>
      </w:pPr>
    </w:p>
    <w:p w14:paraId="0749768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AEA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EA114DB">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A6836EB">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桃江县统计执法大队</w:t>
            </w:r>
          </w:p>
        </w:tc>
      </w:tr>
    </w:tbl>
    <w:p w14:paraId="19E438A1">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3DA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50E524A">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7906397">
            <w:pPr>
              <w:keepNext w:val="0"/>
              <w:keepLines w:val="0"/>
              <w:widowControl/>
              <w:suppressLineNumbers w:val="0"/>
              <w:jc w:val="left"/>
              <w:rPr>
                <w:kern w:val="0"/>
                <w:sz w:val="20"/>
                <w:szCs w:val="20"/>
                <w:bdr w:val="none" w:color="auto" w:sz="0" w:space="0"/>
                <w:lang w:val="en-US"/>
              </w:rPr>
            </w:pPr>
          </w:p>
        </w:tc>
      </w:tr>
    </w:tbl>
    <w:p w14:paraId="2CF5EC1D">
      <w:pPr>
        <w:ind w:left="0" w:firstLine="723" w:firstLineChars="300"/>
        <w:rPr>
          <w:rFonts w:hint="eastAsia" w:ascii="黑体" w:hAnsi="宋体" w:eastAsia="黑体" w:cs="黑体"/>
          <w:b/>
          <w:bCs/>
          <w:sz w:val="24"/>
          <w:szCs w:val="24"/>
          <w:u w:val="single"/>
          <w:lang w:val="en-US"/>
        </w:rPr>
      </w:pPr>
    </w:p>
    <w:p w14:paraId="251B793B">
      <w:pPr>
        <w:jc w:val="center"/>
        <w:rPr>
          <w:rFonts w:hint="eastAsia" w:ascii="黑体" w:hAnsi="宋体" w:eastAsia="黑体" w:cs="黑体"/>
          <w:b/>
          <w:bCs/>
          <w:sz w:val="30"/>
          <w:szCs w:val="24"/>
          <w:u w:val="single"/>
          <w:lang w:val="en-US"/>
        </w:rPr>
      </w:pPr>
    </w:p>
    <w:p w14:paraId="2A9263EC">
      <w:pPr>
        <w:jc w:val="center"/>
        <w:rPr>
          <w:rFonts w:hint="eastAsia" w:ascii="黑体" w:hAnsi="宋体" w:eastAsia="黑体" w:cs="黑体"/>
          <w:b/>
          <w:bCs/>
          <w:sz w:val="30"/>
          <w:szCs w:val="24"/>
          <w:u w:val="single"/>
          <w:lang w:val="en-US"/>
        </w:rPr>
      </w:pPr>
    </w:p>
    <w:p w14:paraId="0DDFE570">
      <w:pPr>
        <w:jc w:val="center"/>
        <w:rPr>
          <w:u w:val="single"/>
          <w:lang w:val="en-US"/>
        </w:rPr>
      </w:pPr>
    </w:p>
    <w:p w14:paraId="784A60D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DE5732B">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55F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B3413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0CAF1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B8207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BF0E5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A582C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C6447F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A4A53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0FA4F1B">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桃江县统计执法大队</w:t>
            </w:r>
          </w:p>
        </w:tc>
      </w:tr>
      <w:tr w14:paraId="39B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840E5B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D0B80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1061D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DA3CF8E">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贯彻执行统计行业法规、规章，为统计事业发展提供执法保障；组织实施统计执法监督检查、统计执法检查、专项统计执法检查；统计违法案件的处理、执行及案卷整理归档、统计举报案件的检查处理；负责局机关的综合治理、普法等法制工作；完成局领导和上级业务机关交办的其他各项工作。</w:t>
            </w:r>
          </w:p>
        </w:tc>
      </w:tr>
      <w:tr w14:paraId="0D94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E4C516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6ECC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2F1F96">
            <w:pPr>
              <w:jc w:val="left"/>
            </w:pPr>
            <w:r>
              <w:rPr>
                <w:rStyle w:val="19"/>
                <w:rFonts w:hint="eastAsia" w:ascii="楷体_GB2312" w:eastAsia="楷体_GB2312" w:cs="楷体_GB2312"/>
                <w:sz w:val="28"/>
                <w:szCs w:val="28"/>
                <w:bdr w:val="none" w:color="auto" w:sz="0" w:space="0"/>
                <w:lang w:val="en-US"/>
              </w:rPr>
              <w:t>桃江县桃花江镇迎宾路</w:t>
            </w:r>
          </w:p>
        </w:tc>
      </w:tr>
      <w:tr w14:paraId="15A3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393E7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3926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A40BB8C">
            <w:pPr>
              <w:jc w:val="left"/>
            </w:pPr>
            <w:r>
              <w:rPr>
                <w:rStyle w:val="19"/>
                <w:rFonts w:hint="eastAsia" w:ascii="楷体_GB2312" w:eastAsia="楷体_GB2312" w:cs="楷体_GB2312"/>
                <w:sz w:val="28"/>
                <w:szCs w:val="28"/>
                <w:bdr w:val="none" w:color="auto" w:sz="0" w:space="0"/>
                <w:lang w:val="en-US"/>
              </w:rPr>
              <w:t>涂丽</w:t>
            </w:r>
          </w:p>
        </w:tc>
      </w:tr>
      <w:tr w14:paraId="077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B7791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CB6D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04EF90C">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w:t>
            </w:r>
            <w:r>
              <w:rPr>
                <w:rStyle w:val="19"/>
                <w:rFonts w:hint="eastAsia" w:ascii="楷体_GB2312" w:eastAsia="楷体_GB2312" w:cs="楷体_GB2312"/>
                <w:sz w:val="28"/>
                <w:szCs w:val="28"/>
                <w:bdr w:val="none" w:color="auto" w:sz="0" w:space="0"/>
              </w:rPr>
              <w:t>（万元）</w:t>
            </w:r>
          </w:p>
        </w:tc>
      </w:tr>
      <w:tr w14:paraId="002F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4689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6C01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C78BCFA">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DEC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9ED445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4E88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292F343">
            <w:pPr>
              <w:jc w:val="left"/>
            </w:pPr>
            <w:r>
              <w:rPr>
                <w:rStyle w:val="19"/>
                <w:rFonts w:hint="eastAsia" w:ascii="楷体_GB2312" w:eastAsia="楷体_GB2312" w:cs="楷体_GB2312"/>
                <w:sz w:val="28"/>
                <w:szCs w:val="28"/>
                <w:bdr w:val="none" w:color="auto" w:sz="0" w:space="0"/>
                <w:lang w:val="en-US"/>
              </w:rPr>
              <w:t>桃江县统计局</w:t>
            </w:r>
          </w:p>
        </w:tc>
      </w:tr>
      <w:tr w14:paraId="6F5C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ADFC6C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1DF1C6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0DD3EB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A80EAD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6008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BDE6EF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17C0DE7">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B945463">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61A5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A8D7A1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CB35696">
            <w:pPr>
              <w:jc w:val="center"/>
              <w:rPr>
                <w:sz w:val="32"/>
                <w:szCs w:val="24"/>
                <w:bdr w:val="none" w:color="auto" w:sz="0" w:space="0"/>
                <w:lang w:val="en-US"/>
              </w:rPr>
            </w:pPr>
            <w:r>
              <w:rPr>
                <w:rStyle w:val="18"/>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4EC7620">
            <w:pPr>
              <w:jc w:val="center"/>
            </w:pPr>
            <w:r>
              <w:rPr>
                <w:rStyle w:val="19"/>
                <w:sz w:val="32"/>
                <w:szCs w:val="32"/>
                <w:bdr w:val="none" w:color="auto" w:sz="0" w:space="0"/>
                <w:lang w:val="en-US"/>
              </w:rPr>
              <w:t>3</w:t>
            </w:r>
          </w:p>
        </w:tc>
      </w:tr>
      <w:tr w14:paraId="206A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2E4839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8F14D0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桃江县统计执法大队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C7D03B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70151DF">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6</w:t>
            </w:r>
          </w:p>
        </w:tc>
      </w:tr>
      <w:tr w14:paraId="109B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DFE05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1C28D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0F887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6C892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5E832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C8CD4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2E3CF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158085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FFFBC4C">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严格按照条例和实施细则有关规定执行，2023年办理法人变更登记1次。</w:t>
            </w:r>
          </w:p>
        </w:tc>
      </w:tr>
      <w:tr w14:paraId="08C7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0E9AF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C49F7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41595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AF40D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8ACC4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1DF442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C47E6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0EC5C28">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47CB49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桃江县统计执法大队在县委、县政府的正确领导下，在上级统计部门的有力指导下，始终坚持以习近平法治思想为指导，严格贯彻落实统计法律法规，强化统计执法检查力度，为保障源头统计数据质量、规范统计工作发挥了积极作用。 一、强化组织领导，确保统计执法落地落实。根据上级统计执法部门和我县统计工作的统一部署，县统计局党组高度重视，年初召开会议安排部署2023年统计执法工作，“一把手”牵头抓总，分管领导具体负责，执法工作人员负责组织实施。年初制定了《2023年桃江县统计执法检查工作计划》，并对相关检查单位发送了统计执法检查函，明确执法检查目标任务和各项工作要求，确保统计执法工作贯彻落到实处。 二、强化依法治统，保持统计执法高压态势。创新执法模式，与资阳区统计局联合开展统计执法检查。按照“双随机、一公开”的原则，从全县工业、商贸、劳动工资、固投、服务业等相关企业中随机抽取26家企业（项目）开展联合执法检查。秉着“持证上岗、亮证执法”的原则，主动向检查对象发放执法检查文书，认真核实企业相关项目备案资料，查看财务原始凭证，调取统计数据台账，逐一核查每项统计指标的数据来源和相关凭证，做到从源头上确保统计数据质量。 三、强化法治宣传，增强全民依法统计意识。积极开展统计法治宣传。结合“9.20”统计开放日，“12.4”全国法治宣传日、统计法颁布40周年纪念日以及“五经普”集中宣传月等关键时间节点，通过利用流动宣传车、悬挂横幅、发放宣传手册、“村村通”广播、政府门户网站等多形式多途径扎实开展统计法治宣传活动。 四、强化法治教育，筑牢依法统计思想根基。突出抓好领导干部、基层统计人员的学法用法。常态化学习《意见》《办法》《规定》，持续推进统计法进党校，2023年10月，党组成员、副局长汪劲松同志为全县新提拔干部讲授统计法专题辅导讲座。全年推动统计法律法规有关知识入县委、县政府学习共7次。利用执法检查的契机，积极向检查对象宣传《统计法》《统计执法监督检查办法》《防范和惩治统计造假、弄虚作假督察工作规定》等，进一步增强统计对象的法治意识，坚守依法统计底线，确保统计调查数据真实可靠。 五、健全工作制度，形成执法监督长效机制。按照上级部署要求，进一步完善了执法信息平台，每个季度动态更新网上直报执法检查等相关信息。推行统计上严重失信企业信息公示、曝光、约谈机制；创新执法检查方式，规范执法办案程序，严格做到统计执法案件案卷规范，案卷评查合格率达到统一的规定标准，做好日常的统计行政执法监督各项工作。 六、加强队伍建设，不断提高执法人员素质。落实国家工作人员年度学法考法制度。按照上级统一部署安排，我局按规定及时报送参考人员名单，积极组织参加全省统计系统学法考法，网上学法课时达标率100%，应考人员参考率100%，考试合格率100%。 七、服从党组安排，扎实开展经济普查工作。根据党组统一安排部署，统计执法大队全体工作人员严格按照第五次全国经济普查的各项要求，按时按要求完成各阶段的普查工作任务。 </w:t>
            </w:r>
          </w:p>
          <w:p w14:paraId="604413C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DC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015ADA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469FBBF">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0E36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EAEA0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BBAFEE3">
            <w:pPr>
              <w:jc w:val="left"/>
            </w:pPr>
            <w:r>
              <w:rPr>
                <w:rStyle w:val="19"/>
                <w:rFonts w:hint="eastAsia" w:ascii="楷体_GB2312" w:eastAsia="楷体_GB2312" w:cs="楷体_GB2312"/>
                <w:sz w:val="28"/>
                <w:szCs w:val="28"/>
                <w:bdr w:val="none" w:color="auto" w:sz="0" w:space="0"/>
                <w:lang w:val="en-US"/>
              </w:rPr>
              <w:t>无</w:t>
            </w:r>
          </w:p>
        </w:tc>
      </w:tr>
      <w:tr w14:paraId="37CD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64354C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414682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40FFDF7">
            <w:pPr>
              <w:jc w:val="left"/>
            </w:pPr>
            <w:r>
              <w:rPr>
                <w:rStyle w:val="19"/>
                <w:rFonts w:hint="eastAsia" w:ascii="楷体_GB2312" w:eastAsia="楷体_GB2312" w:cs="楷体_GB2312"/>
                <w:sz w:val="28"/>
                <w:szCs w:val="28"/>
                <w:bdr w:val="none" w:color="auto" w:sz="0" w:space="0"/>
                <w:lang w:val="en-US"/>
              </w:rPr>
              <w:t>无</w:t>
            </w:r>
          </w:p>
        </w:tc>
      </w:tr>
    </w:tbl>
    <w:p w14:paraId="2038158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4524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1661</Words>
  <Characters>1729</Characters>
  <Lines>4</Lines>
  <Paragraphs>1</Paragraphs>
  <TotalTime>45456.4062500016</TotalTime>
  <ScaleCrop>false</ScaleCrop>
  <LinksUpToDate>false</LinksUpToDate>
  <CharactersWithSpaces>1772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2024-06-13T01:53:24Z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404F5D34EB2D470DAD079951142A2931_13</vt:lpwstr>
  </property>
</Properties>
</file>