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2CC3BE">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18A9AD3D">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124309224470187849</w:t>
      </w:r>
      <w:r>
        <w:rPr>
          <w:rFonts w:eastAsia="楷体_GB2312"/>
          <w:b/>
          <w:bCs/>
          <w:sz w:val="30"/>
          <w:szCs w:val="24"/>
          <w:lang w:val="en-US"/>
        </w:rPr>
        <w:t xml:space="preserve">   </w:t>
      </w:r>
    </w:p>
    <w:p w14:paraId="2890615D">
      <w:pPr>
        <w:jc w:val="right"/>
        <w:rPr>
          <w:lang w:val="en-US"/>
        </w:rPr>
      </w:pPr>
    </w:p>
    <w:p w14:paraId="7718CC0C">
      <w:pPr>
        <w:jc w:val="right"/>
        <w:rPr>
          <w:lang w:val="en-US"/>
        </w:rPr>
      </w:pPr>
    </w:p>
    <w:p w14:paraId="393213AD">
      <w:pPr>
        <w:jc w:val="right"/>
        <w:rPr>
          <w:lang w:val="en-US"/>
        </w:rPr>
      </w:pPr>
    </w:p>
    <w:p w14:paraId="1D99DF11">
      <w:pPr>
        <w:jc w:val="right"/>
        <w:rPr>
          <w:lang w:val="en-US"/>
        </w:rPr>
      </w:pPr>
    </w:p>
    <w:p w14:paraId="462C1170">
      <w:pPr>
        <w:jc w:val="right"/>
        <w:rPr>
          <w:lang w:val="en-US"/>
        </w:rPr>
      </w:pPr>
    </w:p>
    <w:p w14:paraId="7FCF8237">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EDBD3DA">
      <w:pPr>
        <w:jc w:val="center"/>
        <w:rPr>
          <w:rFonts w:eastAsia="黑体"/>
          <w:b/>
          <w:bCs/>
          <w:spacing w:val="30"/>
          <w:lang w:val="en-US"/>
        </w:rPr>
      </w:pPr>
    </w:p>
    <w:p w14:paraId="0023DA54">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4AA2A459">
      <w:pPr>
        <w:jc w:val="center"/>
        <w:rPr>
          <w:sz w:val="36"/>
          <w:szCs w:val="24"/>
          <w:lang w:val="en-US"/>
        </w:rPr>
      </w:pPr>
    </w:p>
    <w:p w14:paraId="40D70640">
      <w:pPr>
        <w:jc w:val="center"/>
        <w:rPr>
          <w:sz w:val="36"/>
          <w:szCs w:val="24"/>
          <w:lang w:val="en-US"/>
        </w:rPr>
      </w:pPr>
    </w:p>
    <w:p w14:paraId="73977B6B">
      <w:pPr>
        <w:jc w:val="center"/>
        <w:rPr>
          <w:sz w:val="36"/>
          <w:szCs w:val="24"/>
          <w:lang w:val="en-US"/>
        </w:rPr>
      </w:pPr>
    </w:p>
    <w:p w14:paraId="2D8561FC">
      <w:pPr>
        <w:jc w:val="center"/>
        <w:rPr>
          <w:sz w:val="36"/>
          <w:szCs w:val="24"/>
          <w:lang w:val="en-US"/>
        </w:rPr>
      </w:pPr>
    </w:p>
    <w:p w14:paraId="5DA1E880">
      <w:pPr>
        <w:jc w:val="center"/>
        <w:rPr>
          <w:sz w:val="36"/>
          <w:szCs w:val="24"/>
          <w:lang w:val="en-US"/>
        </w:rPr>
      </w:pPr>
    </w:p>
    <w:p w14:paraId="0642807A">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BC3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10F9851B">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13D7BBAF">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桃江县图书馆</w:t>
            </w:r>
          </w:p>
        </w:tc>
      </w:tr>
    </w:tbl>
    <w:p w14:paraId="17ECDFC1">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9C1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6F9C344">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523EBD6">
            <w:pPr>
              <w:keepNext w:val="0"/>
              <w:keepLines w:val="0"/>
              <w:widowControl/>
              <w:suppressLineNumbers w:val="0"/>
              <w:jc w:val="left"/>
              <w:rPr>
                <w:kern w:val="0"/>
                <w:sz w:val="20"/>
                <w:szCs w:val="20"/>
                <w:bdr w:val="none" w:color="auto" w:sz="0" w:space="0"/>
                <w:lang w:val="en-US"/>
              </w:rPr>
            </w:pPr>
          </w:p>
        </w:tc>
      </w:tr>
    </w:tbl>
    <w:p w14:paraId="1811980B">
      <w:pPr>
        <w:ind w:left="0" w:firstLine="723" w:firstLineChars="300"/>
        <w:rPr>
          <w:rFonts w:hint="eastAsia" w:ascii="黑体" w:hAnsi="宋体" w:eastAsia="黑体" w:cs="黑体"/>
          <w:b/>
          <w:bCs/>
          <w:sz w:val="24"/>
          <w:szCs w:val="24"/>
          <w:u w:val="single"/>
          <w:lang w:val="en-US"/>
        </w:rPr>
      </w:pPr>
    </w:p>
    <w:p w14:paraId="377C2BE4">
      <w:pPr>
        <w:jc w:val="center"/>
        <w:rPr>
          <w:rFonts w:hint="eastAsia" w:ascii="黑体" w:hAnsi="宋体" w:eastAsia="黑体" w:cs="黑体"/>
          <w:b/>
          <w:bCs/>
          <w:sz w:val="30"/>
          <w:szCs w:val="24"/>
          <w:u w:val="single"/>
          <w:lang w:val="en-US"/>
        </w:rPr>
      </w:pPr>
    </w:p>
    <w:p w14:paraId="255CDA4B">
      <w:pPr>
        <w:jc w:val="center"/>
        <w:rPr>
          <w:rFonts w:hint="eastAsia" w:ascii="黑体" w:hAnsi="宋体" w:eastAsia="黑体" w:cs="黑体"/>
          <w:b/>
          <w:bCs/>
          <w:sz w:val="30"/>
          <w:szCs w:val="24"/>
          <w:u w:val="single"/>
          <w:lang w:val="en-US"/>
        </w:rPr>
      </w:pPr>
    </w:p>
    <w:p w14:paraId="318B85DD">
      <w:pPr>
        <w:jc w:val="center"/>
        <w:rPr>
          <w:u w:val="single"/>
          <w:lang w:val="en-US"/>
        </w:rPr>
      </w:pPr>
    </w:p>
    <w:p w14:paraId="52238329">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7F681854">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5E50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E6EDB9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6121233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20CC32F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38438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5C4FC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0A1994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217BB93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5EB0BD1">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桃江县图书馆</w:t>
            </w:r>
          </w:p>
        </w:tc>
      </w:tr>
      <w:tr w14:paraId="78A6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0EBC13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1F6DDC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3D08C8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E8D21A6">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保存借阅图书资料，促进社会经济文化发展。 图书、报刊等采编与储藏 图书资料借阅 图书资料网络系统设计、维护与管理</w:t>
            </w:r>
          </w:p>
        </w:tc>
      </w:tr>
      <w:tr w14:paraId="1290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AB0157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9408D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C458BF9">
            <w:pPr>
              <w:jc w:val="left"/>
            </w:pPr>
            <w:r>
              <w:rPr>
                <w:rStyle w:val="14"/>
                <w:rFonts w:hint="eastAsia" w:ascii="楷体_GB2312" w:eastAsia="楷体_GB2312" w:cs="楷体_GB2312"/>
                <w:sz w:val="28"/>
                <w:szCs w:val="28"/>
                <w:bdr w:val="none" w:color="auto" w:sz="0" w:space="0"/>
                <w:lang w:val="en-US"/>
              </w:rPr>
              <w:t>桃江县桃花江镇文化路76号</w:t>
            </w:r>
          </w:p>
        </w:tc>
      </w:tr>
      <w:tr w14:paraId="34C9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0C085E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1E75C3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DCD7D28">
            <w:pPr>
              <w:jc w:val="left"/>
            </w:pPr>
            <w:r>
              <w:rPr>
                <w:rStyle w:val="14"/>
                <w:rFonts w:hint="eastAsia" w:ascii="楷体_GB2312" w:eastAsia="楷体_GB2312" w:cs="楷体_GB2312"/>
                <w:sz w:val="28"/>
                <w:szCs w:val="28"/>
                <w:bdr w:val="none" w:color="auto" w:sz="0" w:space="0"/>
                <w:lang w:val="en-US"/>
              </w:rPr>
              <w:t>熊伟</w:t>
            </w:r>
          </w:p>
        </w:tc>
      </w:tr>
      <w:tr w14:paraId="7C44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1824E5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DF159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1C2AB84">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353</w:t>
            </w:r>
            <w:r>
              <w:rPr>
                <w:rStyle w:val="14"/>
                <w:rFonts w:hint="eastAsia" w:ascii="楷体_GB2312" w:eastAsia="楷体_GB2312" w:cs="楷体_GB2312"/>
                <w:sz w:val="28"/>
                <w:szCs w:val="28"/>
                <w:bdr w:val="none" w:color="auto" w:sz="0" w:space="0"/>
              </w:rPr>
              <w:t>（万元）</w:t>
            </w:r>
          </w:p>
        </w:tc>
      </w:tr>
      <w:tr w14:paraId="4438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8DB87F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F4BFB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C4C288F">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财政补助（全额拨款）</w:t>
            </w:r>
          </w:p>
        </w:tc>
      </w:tr>
      <w:tr w14:paraId="7C44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1BA288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3821D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6538CFD">
            <w:pPr>
              <w:jc w:val="left"/>
            </w:pPr>
            <w:r>
              <w:rPr>
                <w:rStyle w:val="14"/>
                <w:rFonts w:hint="eastAsia" w:ascii="楷体_GB2312" w:eastAsia="楷体_GB2312" w:cs="楷体_GB2312"/>
                <w:sz w:val="28"/>
                <w:szCs w:val="28"/>
                <w:bdr w:val="none" w:color="auto" w:sz="0" w:space="0"/>
                <w:lang w:val="en-US"/>
              </w:rPr>
              <w:t>桃江县文化旅游广电体育局</w:t>
            </w:r>
          </w:p>
        </w:tc>
      </w:tr>
      <w:tr w14:paraId="73B7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15719E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00FBE30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2CA20255">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531D6FF7">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14:paraId="44FB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847E3A7">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1AA266D">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91064C1">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14:paraId="4CA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C2AADE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21A4CC6">
            <w:pPr>
              <w:jc w:val="center"/>
              <w:rPr>
                <w:sz w:val="32"/>
                <w:szCs w:val="24"/>
                <w:bdr w:val="none" w:color="auto" w:sz="0" w:space="0"/>
                <w:lang w:val="en-US"/>
              </w:rPr>
            </w:pPr>
            <w:r>
              <w:rPr>
                <w:rStyle w:val="20"/>
                <w:sz w:val="32"/>
                <w:szCs w:val="24"/>
                <w:bdr w:val="none" w:color="auto" w:sz="0" w:space="0"/>
                <w:lang w:val="en-US"/>
              </w:rPr>
              <w:t>266.6</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3689FF1">
            <w:pPr>
              <w:jc w:val="center"/>
            </w:pPr>
            <w:r>
              <w:rPr>
                <w:rStyle w:val="14"/>
                <w:sz w:val="32"/>
                <w:szCs w:val="32"/>
                <w:bdr w:val="none" w:color="auto" w:sz="0" w:space="0"/>
                <w:lang w:val="en-US"/>
              </w:rPr>
              <w:t>328.6</w:t>
            </w:r>
          </w:p>
        </w:tc>
      </w:tr>
      <w:tr w14:paraId="2774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2710666">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74A56BE">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桃江县图书馆</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564577B">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DE8E316">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23</w:t>
            </w:r>
          </w:p>
        </w:tc>
      </w:tr>
      <w:tr w14:paraId="2764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0E301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4735901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6D3E58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074FE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449C9D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E585E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DAB16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72141EC">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97C5C2C">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已经执行</w:t>
            </w:r>
          </w:p>
        </w:tc>
      </w:tr>
      <w:tr w14:paraId="3D53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532E33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3A063E7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35BB9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894163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01A51D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B3895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40419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3C031FA5">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2B48857">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（一）按上级文件精神，内外结合开展4·23世界读书日、服务宣传周等系列阅读推广活动 4月22日参加益阳市区县公共图书馆联合主办的全民阅读系列活动之“2023·4·23“世界读书日”系列活动暨“绿书签行动”“阅”享新时代 书香满益阳”全民阅读活动。 4月25日“4.23”世界读书日暨阅享新时代”第六届桃江全民阅读推广现场活动在张昆弟广场拉开帷幕，活动现场四百余人次。4月初馆长就与桃江县鸬鹚渡镇板溪学校王校长联系，并同馆内工作人员多次上门沟通，协商活动开展的形式、内容。双方仔细商榷4·25张昆弟现场活动细节；前期桃江县图书馆选送一批图书，开展流动图书进校园活动，在各班开展“滋养民族心灵 培育文化自信”读书分享会，让孩子们爱读书，读好书，好读书。此次阅读活动惠及千余人次。 随及桃江县图书馆在4月26日联合鸬鹚渡镇玉华小学、张子清红色教育基地开展了2023年世界读书日暨益阳市公共图书馆服务宣传周——阅读新时代 书香筑未来”主题活动。配套活动有送书进校园及以班为单位开展阅读分享会、诗歌朗诵会、演讲比赛等，以校为单位开展好书推荐会、手抄报评比、黑板报评比等活动。 4月27日上午，桃江县图书馆迎来了近200人的小读者，是启航幼儿园以“畅游书海·品味书香”为主题图书馆参观活动。5月9日，橙果蒙氏幼儿园两个班级师生共约80人来馆参观。通过幼儿参观图书馆的活动，既开阔了幼儿视野，又提高了幼儿的阅读兴趣，为幼儿心灵深处播下了一颗求知、乐学的种子。 5月25日上午，“滋养民族心灵 培育文化自信”—2023年益阳市公共图书馆服务宣传周暨首届未成年人读书节活动启动仪式在益阳市资阳区体育场南门正式启动。本次活动由中共益阳市资阳区委宣传部、益阳市资阳区文化旅游广电体育局和益阳市图书馆学会主办，益阳市图书馆、资阳区图书馆、赫山区图书馆、桃江县图书馆及益阳市石码头小学承办。拉开了“书香益阳”未成年人系列活动的帷幕，努力营造了未成年人“爱读书 多读书 读好书 善读书”的良好氛围，大力推广全民阅读。 6月1日下午，由桃江县图书馆组织的“滋养民族心灵 培育文化自信”——庆“六一”书法公益课开讲。青年书画家协会副主席姚登魁主讲，孩子和家长共40多人学习书法知识。 （二）开展送书下乡活动 为加大村级图书资源的有效供给能力，最大限度丰富农家书屋、图书室的阅读资源，满足群众的阅读需求，进一步丰富群众参与文化生活的方式方法，实现服务群众“零距离”。今年，桃江县图书馆高效实施图书下沉村级、社区流转配送服务，配送的图书均为借阅量较大、受读者欢迎的图书，包括农业科学、文学、航天、法律等类别，进一步满足群众的阅读需求。在世界读书日活动期间，桃江县图书馆向鸬鹚渡镇板溪学校、玉华小学各捐赠图书500册，以实际行动鼓励同学们积极阅读，坚持阅读。五月中旬联合三堂街镇分馆的图书志愿者一行六人将图书配送进了三堂街镇王母村，为该村农家书屋送去各类书籍500余册，把“精神食粮”送到村民家门口，赢得了读者的赞誉。 （三）“三湘读书月”，时时读书时 7月14日，【七彩假期】“十天公益暑托班”社会实践活动在图书馆开展，志愿者及小读者共计70余人次。孩子们感受到了图书馆的安静和浓浓的读书氛围，开阔了视野，提高了自我的阅读兴趣。两个孩子在参观的过程中对志愿者说，回去后就要妈妈带着他们再来图书馆办理借书证。活动丰富了孩子们假期生活的同时，也使得更多的孩子走进了图书馆。 9月24日下午，桃江县图书馆开展了亲子手工灯笼DIY活动。此次活动共有20对亲子参与，服务人数达57人。此次活动的开展，增加亲子间的沟通，也让孩子们在活动中感悟传统节日、喜爱传统节日、过好传统节日。 人们常说家有一老就是一宝，于是在9月22日，桃江县图书馆举办“童心敬老 情暖重阳”活动，60余人参加，通过活动的开展，旨在培养孩子们尊老、敬老、爱老、助老的情感和品质。 10月5日，桃江县图书馆开展了“童心向党 献礼祖国”手工DIY活动，共73人参加。通过此次DIY手工活动，不仅培养了小朋友们对手工制作的兴趣和爱好，同时，他们用自己的手工作品，表达了对伟大祖国的美好祝福。培养了小朋友们爱国主义情怀。 （四）结合实际实效，公共文化服务水平有效提升 通过接受调研、馆际交流以及举办培训班等业务活动，增强业务能力，提升公共服务软件水平。 7月26日下午，益阳市文化旅游广电体育局党组成员、总工程师杨妮、公共文化服务科科长蔡雅琴、市图书馆馆长胡勇、办公室主任龙胜常一行在桃江县文化旅游广电体育局副局长刘国海的陪同下，到桃江县图书馆进行公共图书馆及分馆建设情况调研，通过此次调研活动，桃江县图书馆的业务服务水平得到了进一步提升。 11月16日上午，益阳市赫山区文化旅游广电体育局党组成员、总工程师、区图书馆党支部书记姚巍，区图书馆馆长王立雄等一行七人到桃江县图书馆进行考察学习，就如何在人口密集的小区满足不同人群的阅读需求，把图书管理服务工作做好，展开座谈交流。同时，在以后的工作中我们将与兄弟区县馆密切沟通联系，加强交流合作，共促图书馆工作整体水平进一步提升，为图书馆事业高质量发展贡献智慧和力量。 4月下旬、10月中旬，分别举办了第一期和第二期乡镇文化工作从业人员培训班。进行了图书馆总分馆业务培训，对桃江县图书馆分馆Interlib系统流通模块的使用进行详细讲解；全民阅读推广活动也进行了探讨与交流。培训期间还组织学习了2023年公共文化服务高质量发展五年行动计划和年报统计工作。创新了乡镇文化工作从业人员的工作思路、提升了业务服务能力水平。 2024年，桃江县图书馆将不断提升业务能力水平，创新业务服务载体，强化业务服务效能，推动我县公共文化服务高质量发展。 </w:t>
            </w:r>
          </w:p>
          <w:p w14:paraId="4B37811C">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2F1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DBCBF3C">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74A9D0F">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事业单位法人证书 有效期：自2023年04月03日至2028年04月03日</w:t>
            </w:r>
          </w:p>
        </w:tc>
      </w:tr>
      <w:tr w14:paraId="2372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B92CA5E">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2FBA970">
            <w:pPr>
              <w:jc w:val="left"/>
            </w:pPr>
            <w:r>
              <w:rPr>
                <w:rStyle w:val="14"/>
                <w:rFonts w:hint="eastAsia" w:ascii="楷体_GB2312" w:eastAsia="楷体_GB2312" w:cs="楷体_GB2312"/>
                <w:sz w:val="28"/>
                <w:szCs w:val="28"/>
                <w:bdr w:val="none" w:color="auto" w:sz="0" w:space="0"/>
                <w:lang w:val="en-US"/>
              </w:rPr>
              <w:t>无</w:t>
            </w:r>
          </w:p>
        </w:tc>
      </w:tr>
      <w:tr w14:paraId="3805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D194C76">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CF98262">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585C83A">
            <w:pPr>
              <w:jc w:val="left"/>
            </w:pPr>
            <w:r>
              <w:rPr>
                <w:rStyle w:val="14"/>
                <w:rFonts w:hint="eastAsia" w:ascii="楷体_GB2312" w:eastAsia="楷体_GB2312" w:cs="楷体_GB2312"/>
                <w:sz w:val="28"/>
                <w:szCs w:val="28"/>
                <w:bdr w:val="none" w:color="auto" w:sz="0" w:space="0"/>
                <w:lang w:val="en-US"/>
              </w:rPr>
              <w:t>无</w:t>
            </w:r>
          </w:p>
        </w:tc>
      </w:tr>
    </w:tbl>
    <w:p w14:paraId="0F8576AE">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67E7F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hps"/>
    <w:basedOn w:val="13"/>
    <w:uiPriority w:val="0"/>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2634</Words>
  <Characters>2751</Characters>
  <Lines>4</Lines>
  <Paragraphs>1</Paragraphs>
  <TotalTime>45456.4062500016</TotalTime>
  <ScaleCrop>false</ScaleCrop>
  <LinksUpToDate>false</LinksUpToDate>
  <CharactersWithSpaces>2820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2024-06-13T02:19:16Z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85FFFE7A225F4DD38CA9176FEC117E0C_13</vt:lpwstr>
  </property>
</Properties>
</file>