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EECD360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7D0A6138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5"/>
          <w:b/>
          <w:bCs/>
          <w:sz w:val="30"/>
          <w:szCs w:val="30"/>
          <w:lang w:val="en-US"/>
        </w:rPr>
        <w:t>12430922MB1L41217H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633B717C">
      <w:pPr>
        <w:jc w:val="right"/>
        <w:rPr>
          <w:lang w:val="en-US"/>
        </w:rPr>
      </w:pPr>
    </w:p>
    <w:p w14:paraId="297A243B">
      <w:pPr>
        <w:jc w:val="right"/>
        <w:rPr>
          <w:lang w:val="en-US"/>
        </w:rPr>
      </w:pPr>
    </w:p>
    <w:p w14:paraId="1D0B3AA4">
      <w:pPr>
        <w:jc w:val="right"/>
        <w:rPr>
          <w:lang w:val="en-US"/>
        </w:rPr>
      </w:pPr>
    </w:p>
    <w:p w14:paraId="194C1460">
      <w:pPr>
        <w:jc w:val="right"/>
        <w:rPr>
          <w:lang w:val="en-US"/>
        </w:rPr>
      </w:pPr>
    </w:p>
    <w:p w14:paraId="34E27B40">
      <w:pPr>
        <w:jc w:val="right"/>
        <w:rPr>
          <w:lang w:val="en-US"/>
        </w:rPr>
      </w:pPr>
    </w:p>
    <w:p w14:paraId="32AA3649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17C604E3">
      <w:pPr>
        <w:jc w:val="center"/>
        <w:rPr>
          <w:rFonts w:eastAsia="黑体"/>
          <w:b/>
          <w:bCs/>
          <w:spacing w:val="30"/>
          <w:lang w:val="en-US"/>
        </w:rPr>
      </w:pPr>
    </w:p>
    <w:p w14:paraId="18AE4158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5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6EA3DBF3">
      <w:pPr>
        <w:jc w:val="center"/>
        <w:rPr>
          <w:sz w:val="36"/>
          <w:szCs w:val="24"/>
          <w:lang w:val="en-US"/>
        </w:rPr>
      </w:pPr>
    </w:p>
    <w:p w14:paraId="3A7723BB">
      <w:pPr>
        <w:jc w:val="center"/>
        <w:rPr>
          <w:sz w:val="36"/>
          <w:szCs w:val="24"/>
          <w:lang w:val="en-US"/>
        </w:rPr>
      </w:pPr>
    </w:p>
    <w:p w14:paraId="44F9D21F">
      <w:pPr>
        <w:jc w:val="center"/>
        <w:rPr>
          <w:sz w:val="36"/>
          <w:szCs w:val="24"/>
          <w:lang w:val="en-US"/>
        </w:rPr>
      </w:pPr>
    </w:p>
    <w:p w14:paraId="00BE594A">
      <w:pPr>
        <w:jc w:val="center"/>
        <w:rPr>
          <w:sz w:val="36"/>
          <w:szCs w:val="24"/>
          <w:lang w:val="en-US"/>
        </w:rPr>
      </w:pPr>
    </w:p>
    <w:p w14:paraId="4FC728E6">
      <w:pPr>
        <w:jc w:val="center"/>
        <w:rPr>
          <w:sz w:val="36"/>
          <w:szCs w:val="24"/>
          <w:lang w:val="en-US"/>
        </w:rPr>
      </w:pPr>
    </w:p>
    <w:p w14:paraId="751BBAB8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0F19B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38D82D64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562768B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桃江县武潭镇三板桥幼儿园</w:t>
            </w:r>
          </w:p>
        </w:tc>
      </w:tr>
    </w:tbl>
    <w:p w14:paraId="57970E99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0C38B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0864661F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490E40A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75055E7D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7F6ADB49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4B14850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E806148">
      <w:pPr>
        <w:jc w:val="center"/>
        <w:rPr>
          <w:u w:val="single"/>
          <w:lang w:val="en-US"/>
        </w:rPr>
      </w:pPr>
    </w:p>
    <w:p w14:paraId="30D23846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3ABB2DEF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34F1B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B0976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0DA8DAB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54B48A5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5000B62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5C3DBA3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7F502111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8CC75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B0F6053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桃江县武潭镇三板桥幼儿园</w:t>
            </w:r>
          </w:p>
        </w:tc>
      </w:tr>
      <w:tr w14:paraId="54ECA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5A916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43CA9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51E7622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ACD08FB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对2-6岁儿童实施教育与德育相结合，对幼儿进行德智体美等方面的全面教育；对儿童做好心理与生理健康工作指导；结合幼儿发展规律和自身的特点，进行针对性的培养；与幼儿家庭共同为幼儿健康成长服务。</w:t>
            </w:r>
          </w:p>
        </w:tc>
      </w:tr>
      <w:tr w14:paraId="1353A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A92F2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6F327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5235BE3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湖南省益阳市桃江县武潭镇新铺子村</w:t>
            </w:r>
          </w:p>
        </w:tc>
      </w:tr>
      <w:tr w14:paraId="2713E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EC646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9A95B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DB07015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姜吕</w:t>
            </w:r>
          </w:p>
        </w:tc>
      </w:tr>
      <w:tr w14:paraId="093BD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47C59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EA7E2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A724847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300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275FE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CAAD7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D57B6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8FDEEB5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非财政补助</w:t>
            </w:r>
          </w:p>
        </w:tc>
      </w:tr>
      <w:tr w14:paraId="03A4D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D8BB1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6650C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8EA290B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桃江县武潭镇中心学校</w:t>
            </w:r>
          </w:p>
        </w:tc>
      </w:tr>
      <w:tr w14:paraId="06263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866290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2A83485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3AC581C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283BA2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7C94D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D7AC8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84F74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D1949C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3D288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43A0D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B70CE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5.1184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34F0369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10.8979</w:t>
            </w:r>
          </w:p>
        </w:tc>
      </w:tr>
      <w:tr w14:paraId="5D195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55ED13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2E2A17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桃江县武潭镇三板桥幼儿园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A8B0E1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4CD844E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21</w:t>
            </w:r>
          </w:p>
        </w:tc>
      </w:tr>
      <w:tr w14:paraId="7FB2D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4AAE2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2409C48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786DFB9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6CFA04C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5B70E0B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0A233A7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293EB9E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10E839A7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5B88244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认真执行了《条例》和实施细则的相关精神，于2024年3月进行了法人变更。</w:t>
            </w:r>
          </w:p>
        </w:tc>
      </w:tr>
      <w:tr w14:paraId="27D5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DEE1AD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47BBE51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0186FB2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4BDAAA7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773960C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549FF25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4BDA4F4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3C6784B2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AD4DD9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我园的各类活动举办旨在促进孩子们的全面发展，加强家园合作，为孩子们的未来打下坚实基础。近期，我们举办了一系列丰富多彩的活动。 其中，亲子运动会加强了家长与孩子的互动，增进了亲子关系；园外自然考察活动，使孩子们亲近自然，拓宽了视野；而技能培训活动则提高了孩子们的动手能力和自信心。 然而，活动中也存在一些挑战，如活动组织不够严密、部分家长参与度不高等。为此，我们建议加强活动规划，提高家长沟通技巧，以更好地促进孩子们的成长。 总之，开展各类活动对孩子们的成长和家长的合作具有重要意义。我们将继续努力，为孩子们创造更多优质的活动机会。 </w:t>
            </w:r>
          </w:p>
          <w:p w14:paraId="3A85679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5B35E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369B47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419B1CF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法人证书有效期自2023.3.14至2028.3.14。</w:t>
            </w:r>
          </w:p>
        </w:tc>
      </w:tr>
      <w:tr w14:paraId="65445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2FBA26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6378F50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11028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00AC727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0643D402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1420DD7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7A9848AD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77276B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6">
    <w:name w:val="hps"/>
    <w:basedOn w:val="13"/>
    <w:uiPriority w:val="0"/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707</Words>
  <Characters>777</Characters>
  <Lines>4</Lines>
  <Paragraphs>1</Paragraphs>
  <TotalTime>45456.4062500016</TotalTime>
  <ScaleCrop>false</ScaleCrop>
  <LinksUpToDate>false</LinksUpToDate>
  <CharactersWithSpaces>816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2024-06-13T01:54:52Z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F375C63D4D3A43A790CEF3DAB93F4609_13</vt:lpwstr>
  </property>
</Properties>
</file>