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414CE7C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6C814CC2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5"/>
          <w:b/>
          <w:bCs/>
          <w:sz w:val="30"/>
          <w:szCs w:val="30"/>
          <w:lang w:val="en-US"/>
        </w:rPr>
        <w:t>12430922447019154B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36CD6F55">
      <w:pPr>
        <w:jc w:val="right"/>
        <w:rPr>
          <w:lang w:val="en-US"/>
        </w:rPr>
      </w:pPr>
    </w:p>
    <w:p w14:paraId="69B5CA01">
      <w:pPr>
        <w:jc w:val="right"/>
        <w:rPr>
          <w:lang w:val="en-US"/>
        </w:rPr>
      </w:pPr>
    </w:p>
    <w:p w14:paraId="40C3B7A0">
      <w:pPr>
        <w:jc w:val="right"/>
        <w:rPr>
          <w:lang w:val="en-US"/>
        </w:rPr>
      </w:pPr>
    </w:p>
    <w:p w14:paraId="4B801FB0">
      <w:pPr>
        <w:jc w:val="right"/>
        <w:rPr>
          <w:lang w:val="en-US"/>
        </w:rPr>
      </w:pPr>
    </w:p>
    <w:p w14:paraId="4158CA15">
      <w:pPr>
        <w:jc w:val="right"/>
        <w:rPr>
          <w:lang w:val="en-US"/>
        </w:rPr>
      </w:pPr>
    </w:p>
    <w:p w14:paraId="2571536D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0DA02BF2">
      <w:pPr>
        <w:jc w:val="center"/>
        <w:rPr>
          <w:rFonts w:eastAsia="黑体"/>
          <w:b/>
          <w:bCs/>
          <w:spacing w:val="30"/>
          <w:lang w:val="en-US"/>
        </w:rPr>
      </w:pPr>
    </w:p>
    <w:p w14:paraId="2C404D59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5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25203B2A">
      <w:pPr>
        <w:jc w:val="center"/>
        <w:rPr>
          <w:sz w:val="36"/>
          <w:szCs w:val="24"/>
          <w:lang w:val="en-US"/>
        </w:rPr>
      </w:pPr>
    </w:p>
    <w:p w14:paraId="1BAEF068">
      <w:pPr>
        <w:jc w:val="center"/>
        <w:rPr>
          <w:sz w:val="36"/>
          <w:szCs w:val="24"/>
          <w:lang w:val="en-US"/>
        </w:rPr>
      </w:pPr>
    </w:p>
    <w:p w14:paraId="79C6F4FB">
      <w:pPr>
        <w:jc w:val="center"/>
        <w:rPr>
          <w:sz w:val="36"/>
          <w:szCs w:val="24"/>
          <w:lang w:val="en-US"/>
        </w:rPr>
      </w:pPr>
    </w:p>
    <w:p w14:paraId="05F9D6F8">
      <w:pPr>
        <w:jc w:val="center"/>
        <w:rPr>
          <w:sz w:val="36"/>
          <w:szCs w:val="24"/>
          <w:lang w:val="en-US"/>
        </w:rPr>
      </w:pPr>
    </w:p>
    <w:p w14:paraId="262E77B3">
      <w:pPr>
        <w:jc w:val="center"/>
        <w:rPr>
          <w:sz w:val="36"/>
          <w:szCs w:val="24"/>
          <w:lang w:val="en-US"/>
        </w:rPr>
      </w:pPr>
    </w:p>
    <w:p w14:paraId="74DACA72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389F5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2A33AD2B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07D22F78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桃江县武潭镇中心卫生院</w:t>
            </w:r>
          </w:p>
        </w:tc>
      </w:tr>
    </w:tbl>
    <w:p w14:paraId="4FB548B5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1842D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09E387CD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2C61FEBB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26DE9E47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422F838C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228BF161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0C9E1385">
      <w:pPr>
        <w:jc w:val="center"/>
        <w:rPr>
          <w:u w:val="single"/>
          <w:lang w:val="en-US"/>
        </w:rPr>
      </w:pPr>
    </w:p>
    <w:p w14:paraId="7FC9BFD2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39597E06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3A86A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0DF09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3CBBCB7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600ABAB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24CBF64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31D1B4F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2E7196F4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C0F48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88FB709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桃江县武潭镇中心卫生院（桃江县第六人民医院）</w:t>
            </w:r>
          </w:p>
        </w:tc>
      </w:tr>
      <w:tr w14:paraId="4DC26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FAEC9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FDBA4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5A7C38C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9D18B90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为人民身体健康提供医疗与护理保健服务。 医疗与护理 医学研究 卫生医疗人员培训与再教育 保健与健康教育</w:t>
            </w:r>
          </w:p>
        </w:tc>
      </w:tr>
      <w:tr w14:paraId="7EC9F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E56AA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3ED24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2D2E337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桃江县武潭镇板桥路38号</w:t>
            </w:r>
          </w:p>
        </w:tc>
      </w:tr>
      <w:tr w14:paraId="00817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5EB24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7BE0A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64693DB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李海燕</w:t>
            </w:r>
          </w:p>
        </w:tc>
      </w:tr>
      <w:tr w14:paraId="5F3B0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1DAF1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EBDFB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19ED694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2964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1245D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D6888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FEE25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AF3AAB5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6F999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36575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1C317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C1EB313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桃江县卫生健康局</w:t>
            </w:r>
          </w:p>
        </w:tc>
      </w:tr>
      <w:tr w14:paraId="07B77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FE3BFA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164D7A61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02FCE3D7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5AF2E7A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25B67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C77CF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C29521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A2B05F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679EA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905EB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D95B0C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1697.31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2F29AF5"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2462.81</w:t>
            </w:r>
          </w:p>
        </w:tc>
      </w:tr>
      <w:tr w14:paraId="5E9ED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7CF5AC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AECB57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桃江县武潭镇中心卫生院 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810D54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77BDC4D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163</w:t>
            </w:r>
          </w:p>
        </w:tc>
      </w:tr>
      <w:tr w14:paraId="0E1A5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7B9BC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45225EA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0E9B107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66CA04E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1BCA001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519F601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23AD2FA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333E6121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AA094A5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严格按照《条例》和实施细则有关规定执行，本年度无变更登记项目。</w:t>
            </w:r>
          </w:p>
        </w:tc>
      </w:tr>
      <w:tr w14:paraId="79CB2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63749B0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47A3813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4385D13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6582CA0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0658E7F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2C956B9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4FBA761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34320826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F24A61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2023年，我院在当地党委政府及县卫生计生局的正确领导下，完成业务收入3639.82万元，其中门诊收入收入1098.59万元，住院收入2541.23万元，药品收入1249.65万元，占业务收入的34.33%，中药完成535.67万元，中药占药品的42.86%。门诊人次87976人次，出院人数12497人次。我院严格按照《条例》所核定的范围开展业务，为辖区群众提供医疗护理与保健服务。 </w:t>
            </w:r>
          </w:p>
          <w:p w14:paraId="3434B21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2B603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38DBBB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FA0C6A0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《医疗机构执业许可证》有效期限2022年6月1日—2025年5月31日（登记号：44701907443092211C2101）</w:t>
            </w:r>
          </w:p>
        </w:tc>
      </w:tr>
      <w:tr w14:paraId="7F88F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834EA5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0B8BD72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565D8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5F4E5438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68E93F57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36B90CAB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13A805F8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26D92E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5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6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568</Words>
  <Characters>699</Characters>
  <Lines>4</Lines>
  <Paragraphs>1</Paragraphs>
  <TotalTime>45456.4062500016</TotalTime>
  <ScaleCrop>false</ScaleCrop>
  <LinksUpToDate>false</LinksUpToDate>
  <CharactersWithSpaces>740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2024-06-13T02:14:35Z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78CC2A88DBF14C02A8FAAEF3BF43137C_13</vt:lpwstr>
  </property>
</Properties>
</file>