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800F4C">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68B4078">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12430922MB0N233931</w:t>
      </w:r>
      <w:r>
        <w:rPr>
          <w:rFonts w:eastAsia="楷体_GB2312"/>
          <w:b/>
          <w:bCs/>
          <w:sz w:val="30"/>
          <w:szCs w:val="24"/>
          <w:lang w:val="en-US"/>
        </w:rPr>
        <w:t xml:space="preserve">   </w:t>
      </w:r>
    </w:p>
    <w:p w14:paraId="032A0F9C">
      <w:pPr>
        <w:jc w:val="right"/>
        <w:rPr>
          <w:lang w:val="en-US"/>
        </w:rPr>
      </w:pPr>
    </w:p>
    <w:p w14:paraId="2753EC43">
      <w:pPr>
        <w:jc w:val="right"/>
        <w:rPr>
          <w:lang w:val="en-US"/>
        </w:rPr>
      </w:pPr>
    </w:p>
    <w:p w14:paraId="73601678">
      <w:pPr>
        <w:jc w:val="right"/>
        <w:rPr>
          <w:lang w:val="en-US"/>
        </w:rPr>
      </w:pPr>
    </w:p>
    <w:p w14:paraId="2C38B879">
      <w:pPr>
        <w:jc w:val="right"/>
        <w:rPr>
          <w:lang w:val="en-US"/>
        </w:rPr>
      </w:pPr>
    </w:p>
    <w:p w14:paraId="625A2E06">
      <w:pPr>
        <w:jc w:val="right"/>
        <w:rPr>
          <w:lang w:val="en-US"/>
        </w:rPr>
      </w:pPr>
    </w:p>
    <w:p w14:paraId="4D25B622">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B5289DC">
      <w:pPr>
        <w:jc w:val="center"/>
        <w:rPr>
          <w:rFonts w:eastAsia="黑体"/>
          <w:b/>
          <w:bCs/>
          <w:spacing w:val="30"/>
          <w:lang w:val="en-US"/>
        </w:rPr>
      </w:pPr>
    </w:p>
    <w:p w14:paraId="731C9754">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04969AC">
      <w:pPr>
        <w:jc w:val="center"/>
        <w:rPr>
          <w:sz w:val="36"/>
          <w:szCs w:val="24"/>
          <w:lang w:val="en-US"/>
        </w:rPr>
      </w:pPr>
    </w:p>
    <w:p w14:paraId="382C8142">
      <w:pPr>
        <w:jc w:val="center"/>
        <w:rPr>
          <w:sz w:val="36"/>
          <w:szCs w:val="24"/>
          <w:lang w:val="en-US"/>
        </w:rPr>
      </w:pPr>
    </w:p>
    <w:p w14:paraId="72CC1718">
      <w:pPr>
        <w:jc w:val="center"/>
        <w:rPr>
          <w:sz w:val="36"/>
          <w:szCs w:val="24"/>
          <w:lang w:val="en-US"/>
        </w:rPr>
      </w:pPr>
    </w:p>
    <w:p w14:paraId="214076A7">
      <w:pPr>
        <w:jc w:val="center"/>
        <w:rPr>
          <w:sz w:val="36"/>
          <w:szCs w:val="24"/>
          <w:lang w:val="en-US"/>
        </w:rPr>
      </w:pPr>
    </w:p>
    <w:p w14:paraId="2973895E">
      <w:pPr>
        <w:jc w:val="center"/>
        <w:rPr>
          <w:sz w:val="36"/>
          <w:szCs w:val="24"/>
          <w:lang w:val="en-US"/>
        </w:rPr>
      </w:pPr>
    </w:p>
    <w:p w14:paraId="239C18E0">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024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A26E7DE">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BA27663">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桃江县协警大队</w:t>
            </w:r>
          </w:p>
        </w:tc>
      </w:tr>
    </w:tbl>
    <w:p w14:paraId="6ECAAC8D">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955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6E7AE334">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0A4D989">
            <w:pPr>
              <w:keepNext w:val="0"/>
              <w:keepLines w:val="0"/>
              <w:widowControl/>
              <w:suppressLineNumbers w:val="0"/>
              <w:jc w:val="left"/>
              <w:rPr>
                <w:kern w:val="0"/>
                <w:sz w:val="20"/>
                <w:szCs w:val="20"/>
                <w:bdr w:val="none" w:color="auto" w:sz="0" w:space="0"/>
                <w:lang w:val="en-US"/>
              </w:rPr>
            </w:pPr>
          </w:p>
        </w:tc>
      </w:tr>
    </w:tbl>
    <w:p w14:paraId="2B93FBEE">
      <w:pPr>
        <w:ind w:left="0" w:firstLine="723" w:firstLineChars="300"/>
        <w:rPr>
          <w:rFonts w:hint="eastAsia" w:ascii="黑体" w:hAnsi="宋体" w:eastAsia="黑体" w:cs="黑体"/>
          <w:b/>
          <w:bCs/>
          <w:sz w:val="24"/>
          <w:szCs w:val="24"/>
          <w:u w:val="single"/>
          <w:lang w:val="en-US"/>
        </w:rPr>
      </w:pPr>
    </w:p>
    <w:p w14:paraId="62AB6330">
      <w:pPr>
        <w:jc w:val="center"/>
        <w:rPr>
          <w:rFonts w:hint="eastAsia" w:ascii="黑体" w:hAnsi="宋体" w:eastAsia="黑体" w:cs="黑体"/>
          <w:b/>
          <w:bCs/>
          <w:sz w:val="30"/>
          <w:szCs w:val="24"/>
          <w:u w:val="single"/>
          <w:lang w:val="en-US"/>
        </w:rPr>
      </w:pPr>
    </w:p>
    <w:p w14:paraId="3D700C9E">
      <w:pPr>
        <w:jc w:val="center"/>
        <w:rPr>
          <w:rFonts w:hint="eastAsia" w:ascii="黑体" w:hAnsi="宋体" w:eastAsia="黑体" w:cs="黑体"/>
          <w:b/>
          <w:bCs/>
          <w:sz w:val="30"/>
          <w:szCs w:val="24"/>
          <w:u w:val="single"/>
          <w:lang w:val="en-US"/>
        </w:rPr>
      </w:pPr>
    </w:p>
    <w:p w14:paraId="5B07E29C">
      <w:pPr>
        <w:jc w:val="center"/>
        <w:rPr>
          <w:u w:val="single"/>
          <w:lang w:val="en-US"/>
        </w:rPr>
      </w:pPr>
    </w:p>
    <w:p w14:paraId="230689AF">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EFB5BD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464E1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809AF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8FF21C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2E7F51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A3B1BF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4CA6B8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C654A7E">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EC0C57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854D295">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桃江县协警大队</w:t>
            </w:r>
          </w:p>
        </w:tc>
      </w:tr>
      <w:tr w14:paraId="790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253872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D1F208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74BAF0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99948A5">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维护社会治安秩序和谐稳定，打造平安桃江 协助民警承担“110”接处警 协助开展城区巡逻防控 协助民警处置给类违法犯罪和治安、交通事故 协助处置辖区内群体性、突发性事件 协助处置辖区内大型群体活动安全保卫 完成主管部门交办的其他工作</w:t>
            </w:r>
          </w:p>
        </w:tc>
      </w:tr>
      <w:tr w14:paraId="1644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C1BE6A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534346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673C236">
            <w:pPr>
              <w:jc w:val="left"/>
            </w:pPr>
            <w:r>
              <w:rPr>
                <w:rStyle w:val="19"/>
                <w:rFonts w:hint="eastAsia" w:ascii="楷体_GB2312" w:eastAsia="楷体_GB2312" w:cs="楷体_GB2312"/>
                <w:sz w:val="28"/>
                <w:szCs w:val="28"/>
                <w:bdr w:val="none" w:color="auto" w:sz="0" w:space="0"/>
                <w:lang w:val="en-US"/>
              </w:rPr>
              <w:t>桃江县桃花江镇芙蓉路</w:t>
            </w:r>
          </w:p>
        </w:tc>
      </w:tr>
      <w:tr w14:paraId="4D95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3DBCF9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F5A3F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3EFBD21">
            <w:pPr>
              <w:jc w:val="left"/>
            </w:pPr>
            <w:r>
              <w:rPr>
                <w:rStyle w:val="19"/>
                <w:rFonts w:hint="eastAsia" w:ascii="楷体_GB2312" w:eastAsia="楷体_GB2312" w:cs="楷体_GB2312"/>
                <w:sz w:val="28"/>
                <w:szCs w:val="28"/>
                <w:bdr w:val="none" w:color="auto" w:sz="0" w:space="0"/>
                <w:lang w:val="en-US"/>
              </w:rPr>
              <w:t>汤智勇</w:t>
            </w:r>
          </w:p>
        </w:tc>
      </w:tr>
      <w:tr w14:paraId="396F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F7290E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2182D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3F85010">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w:t>
            </w:r>
            <w:r>
              <w:rPr>
                <w:rStyle w:val="19"/>
                <w:rFonts w:hint="eastAsia" w:ascii="楷体_GB2312" w:eastAsia="楷体_GB2312" w:cs="楷体_GB2312"/>
                <w:sz w:val="28"/>
                <w:szCs w:val="28"/>
                <w:bdr w:val="none" w:color="auto" w:sz="0" w:space="0"/>
              </w:rPr>
              <w:t>（万元）</w:t>
            </w:r>
          </w:p>
        </w:tc>
      </w:tr>
      <w:tr w14:paraId="3959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5165C9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D8BCE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B267F6E">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60EC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CE18D9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41137D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24B1F34">
            <w:pPr>
              <w:jc w:val="left"/>
            </w:pPr>
            <w:r>
              <w:rPr>
                <w:rStyle w:val="19"/>
                <w:rFonts w:hint="eastAsia" w:ascii="楷体_GB2312" w:eastAsia="楷体_GB2312" w:cs="楷体_GB2312"/>
                <w:sz w:val="28"/>
                <w:szCs w:val="28"/>
                <w:bdr w:val="none" w:color="auto" w:sz="0" w:space="0"/>
                <w:lang w:val="en-US"/>
              </w:rPr>
              <w:t>桃江县公安局</w:t>
            </w:r>
          </w:p>
        </w:tc>
      </w:tr>
      <w:tr w14:paraId="558A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65A894B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C9187F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D9B9C20">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0A0DD36">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5C1C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01C82C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19FFC79">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4985414">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0DE3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52CA75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D6ED065">
            <w:pPr>
              <w:jc w:val="center"/>
              <w:rPr>
                <w:sz w:val="32"/>
                <w:szCs w:val="24"/>
                <w:bdr w:val="none" w:color="auto" w:sz="0" w:space="0"/>
                <w:lang w:val="en-US"/>
              </w:rPr>
            </w:pPr>
            <w:r>
              <w:rPr>
                <w:rStyle w:val="14"/>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1186F06">
            <w:pPr>
              <w:jc w:val="center"/>
            </w:pPr>
            <w:r>
              <w:rPr>
                <w:rStyle w:val="19"/>
                <w:sz w:val="32"/>
                <w:szCs w:val="32"/>
                <w:bdr w:val="none" w:color="auto" w:sz="0" w:space="0"/>
                <w:lang w:val="en-US"/>
              </w:rPr>
              <w:t>1</w:t>
            </w:r>
          </w:p>
        </w:tc>
      </w:tr>
      <w:tr w14:paraId="6C2B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A0F4C79">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A01DBCD">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桃江县协警大队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289819F">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DC11EAA">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40</w:t>
            </w:r>
          </w:p>
        </w:tc>
      </w:tr>
      <w:tr w14:paraId="2D05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0F0C81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6C173C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DCC149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392D5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705BB2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DF1DFC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6A3E9C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5DCA8F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B32B4C3">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14:paraId="5D10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07C6F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3C9C3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6742C2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EB9114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677E4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AAA82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CAECD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C8A2077">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6E1010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2023年1月以来，协警大队在县局党委和上级公安机关的坚强领导以及全队人员的共同努力下，创新实干、开拓进取，不断提高维护社会稳定的能力和水平，为桃江的经济发展、平安和谐作出了新的贡献。 一、扎实开展巡逻防控工作。 大队严格按照县局部署，根据《桃江县中心城区巡逻方案》，在中心城区开展了机动车巡逻、徒步巡逻，把警力摆在易发案时段和易发案地段，强化协警预防、控制和打击街面违法犯罪活动的职能作用。在巡逻过程中，民警还密切关注道路畅通情况，及时协助开展交通疏导保畅工作，并随时做好接受省厅、市局视频巡查检查重点部位、场所治安防控情况的准备，有效维护街面社会治安秩序，严防安全事故的发生。特别是在节假日和两会安保特护期间，加大了巡逻密度和巡逻频率，切实提高了群众见警率，为桃江县城营造了安全稳定的政治社会环境。 二、扎实推进武装联勤巡逻工作。 大队分别于2023年1月1日至1月3日、1月30日至3月15日、6月7日至6月24日、9月28日至10月8日组织对中心城区重点区域开展公安武警武装联勤巡逻工作，有效维护了中心城区社会治安秩序稳定。 三、是扎实推进护学行动。 大队积极开展护学行动，进一步强化社会面管控，切实提高见警率，全面开启“护学”模式，全力维护校园安全稳定。大队安排足够警力，分别在桃江县一中、桂花园小学、桃花江小学等学校上放学时段定点执勤，引导护送学生安全有序的横过道路，并第一时间接受学校师生家长的报警、求助、询问，紧急情况时为学生提供安全保护，保证学生安全有序入校、离校，受到了学生和家长的一致好评 四、狠抓队伍管理 一是狠抓辅警管理。大队建立健全了协警大队辅警管理办法和考核办法，内容涵盖了工作职责、工作纪律、生活纪律、警容风纪、内务管理、请假销假、使用网络社交媒体规定等一系列纪律制度，进一步促进了辅警的精细化、规范化管理。同时，大队狠抓辅警培训工作，做到工作实践和学习培训不放松。 二是坚持从严治警。大队严格警容风纪和内务管理，从严管理队伍，大会小会常提醒，常谈心，认真开展警示教育，时刻敲警钟，确保队伍不出任何问题。 </w:t>
            </w:r>
          </w:p>
          <w:p w14:paraId="45913C2F">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7950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D82270C">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1473BC7">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42E0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04B5300">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E16CB36">
            <w:pPr>
              <w:jc w:val="left"/>
            </w:pPr>
            <w:r>
              <w:rPr>
                <w:rStyle w:val="19"/>
                <w:rFonts w:hint="eastAsia" w:ascii="楷体_GB2312" w:eastAsia="楷体_GB2312" w:cs="楷体_GB2312"/>
                <w:sz w:val="28"/>
                <w:szCs w:val="28"/>
                <w:bdr w:val="none" w:color="auto" w:sz="0" w:space="0"/>
                <w:lang w:val="en-US"/>
              </w:rPr>
              <w:t>无</w:t>
            </w:r>
          </w:p>
        </w:tc>
      </w:tr>
      <w:tr w14:paraId="4CAF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74D1C39">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36BBA0BC">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B7F1392">
            <w:pPr>
              <w:jc w:val="left"/>
            </w:pPr>
            <w:r>
              <w:rPr>
                <w:rStyle w:val="19"/>
                <w:rFonts w:hint="eastAsia" w:ascii="楷体_GB2312" w:eastAsia="楷体_GB2312" w:cs="楷体_GB2312"/>
                <w:sz w:val="28"/>
                <w:szCs w:val="28"/>
                <w:bdr w:val="none" w:color="auto" w:sz="0" w:space="0"/>
                <w:lang w:val="en-US"/>
              </w:rPr>
              <w:t>无</w:t>
            </w:r>
          </w:p>
        </w:tc>
      </w:tr>
    </w:tbl>
    <w:p w14:paraId="5A8E3B79">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40B503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1241</Words>
  <Characters>1290</Characters>
  <Lines>4</Lines>
  <Paragraphs>1</Paragraphs>
  <TotalTime>45455.6875000016</TotalTime>
  <ScaleCrop>false</ScaleCrop>
  <LinksUpToDate>false</LinksUpToDate>
  <CharactersWithSpaces>1341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2024-06-12T09:09:50Z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BBFDF4E031AE4FF3A4DF8F7A4B84F97D_13</vt:lpwstr>
  </property>
</Properties>
</file>