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E665D5">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A70F871">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12430922G018210341</w:t>
      </w:r>
      <w:r>
        <w:rPr>
          <w:rFonts w:eastAsia="楷体_GB2312"/>
          <w:b/>
          <w:bCs/>
          <w:sz w:val="30"/>
          <w:szCs w:val="24"/>
          <w:lang w:val="en-US"/>
        </w:rPr>
        <w:t xml:space="preserve">   </w:t>
      </w:r>
    </w:p>
    <w:p w14:paraId="2D580908">
      <w:pPr>
        <w:jc w:val="right"/>
        <w:rPr>
          <w:lang w:val="en-US"/>
        </w:rPr>
      </w:pPr>
    </w:p>
    <w:p w14:paraId="463DD69D">
      <w:pPr>
        <w:jc w:val="right"/>
        <w:rPr>
          <w:lang w:val="en-US"/>
        </w:rPr>
      </w:pPr>
    </w:p>
    <w:p w14:paraId="7BB4CBDC">
      <w:pPr>
        <w:jc w:val="right"/>
        <w:rPr>
          <w:lang w:val="en-US"/>
        </w:rPr>
      </w:pPr>
    </w:p>
    <w:p w14:paraId="314D1879">
      <w:pPr>
        <w:jc w:val="right"/>
        <w:rPr>
          <w:lang w:val="en-US"/>
        </w:rPr>
      </w:pPr>
    </w:p>
    <w:p w14:paraId="1263EDB5">
      <w:pPr>
        <w:jc w:val="right"/>
        <w:rPr>
          <w:lang w:val="en-US"/>
        </w:rPr>
      </w:pPr>
    </w:p>
    <w:p w14:paraId="1478588B">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2A473F5B">
      <w:pPr>
        <w:jc w:val="center"/>
        <w:rPr>
          <w:rFonts w:eastAsia="黑体"/>
          <w:b/>
          <w:bCs/>
          <w:spacing w:val="30"/>
          <w:lang w:val="en-US"/>
        </w:rPr>
      </w:pPr>
    </w:p>
    <w:p w14:paraId="60C353A3">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0CF39EE">
      <w:pPr>
        <w:jc w:val="center"/>
        <w:rPr>
          <w:sz w:val="36"/>
          <w:szCs w:val="24"/>
          <w:lang w:val="en-US"/>
        </w:rPr>
      </w:pPr>
    </w:p>
    <w:p w14:paraId="24E68E9D">
      <w:pPr>
        <w:jc w:val="center"/>
        <w:rPr>
          <w:sz w:val="36"/>
          <w:szCs w:val="24"/>
          <w:lang w:val="en-US"/>
        </w:rPr>
      </w:pPr>
    </w:p>
    <w:p w14:paraId="514D05A2">
      <w:pPr>
        <w:jc w:val="center"/>
        <w:rPr>
          <w:sz w:val="36"/>
          <w:szCs w:val="24"/>
          <w:lang w:val="en-US"/>
        </w:rPr>
      </w:pPr>
    </w:p>
    <w:p w14:paraId="6BB78FB3">
      <w:pPr>
        <w:jc w:val="center"/>
        <w:rPr>
          <w:sz w:val="36"/>
          <w:szCs w:val="24"/>
          <w:lang w:val="en-US"/>
        </w:rPr>
      </w:pPr>
    </w:p>
    <w:p w14:paraId="31FD0B09">
      <w:pPr>
        <w:jc w:val="center"/>
        <w:rPr>
          <w:sz w:val="36"/>
          <w:szCs w:val="24"/>
          <w:lang w:val="en-US"/>
        </w:rPr>
      </w:pPr>
    </w:p>
    <w:p w14:paraId="485E853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CD5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8721B10">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2131302">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桃江县物业管理所</w:t>
            </w:r>
          </w:p>
        </w:tc>
      </w:tr>
    </w:tbl>
    <w:p w14:paraId="3A5BBB5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516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C9B06E1">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6EDEB12">
            <w:pPr>
              <w:keepNext w:val="0"/>
              <w:keepLines w:val="0"/>
              <w:widowControl/>
              <w:suppressLineNumbers w:val="0"/>
              <w:jc w:val="left"/>
              <w:rPr>
                <w:kern w:val="0"/>
                <w:sz w:val="20"/>
                <w:szCs w:val="20"/>
                <w:bdr w:val="none" w:color="auto" w:sz="0" w:space="0"/>
                <w:lang w:val="en-US"/>
              </w:rPr>
            </w:pPr>
          </w:p>
        </w:tc>
      </w:tr>
    </w:tbl>
    <w:p w14:paraId="34E15B41">
      <w:pPr>
        <w:ind w:left="0" w:firstLine="723" w:firstLineChars="300"/>
        <w:rPr>
          <w:rFonts w:hint="eastAsia" w:ascii="黑体" w:hAnsi="宋体" w:eastAsia="黑体" w:cs="黑体"/>
          <w:b/>
          <w:bCs/>
          <w:sz w:val="24"/>
          <w:szCs w:val="24"/>
          <w:u w:val="single"/>
          <w:lang w:val="en-US"/>
        </w:rPr>
      </w:pPr>
    </w:p>
    <w:p w14:paraId="60B86CFD">
      <w:pPr>
        <w:jc w:val="center"/>
        <w:rPr>
          <w:rFonts w:hint="eastAsia" w:ascii="黑体" w:hAnsi="宋体" w:eastAsia="黑体" w:cs="黑体"/>
          <w:b/>
          <w:bCs/>
          <w:sz w:val="30"/>
          <w:szCs w:val="24"/>
          <w:u w:val="single"/>
          <w:lang w:val="en-US"/>
        </w:rPr>
      </w:pPr>
    </w:p>
    <w:p w14:paraId="6BFC76F5">
      <w:pPr>
        <w:jc w:val="center"/>
        <w:rPr>
          <w:rFonts w:hint="eastAsia" w:ascii="黑体" w:hAnsi="宋体" w:eastAsia="黑体" w:cs="黑体"/>
          <w:b/>
          <w:bCs/>
          <w:sz w:val="30"/>
          <w:szCs w:val="24"/>
          <w:u w:val="single"/>
          <w:lang w:val="en-US"/>
        </w:rPr>
      </w:pPr>
    </w:p>
    <w:p w14:paraId="6430B47E">
      <w:pPr>
        <w:jc w:val="center"/>
        <w:rPr>
          <w:u w:val="single"/>
          <w:lang w:val="en-US"/>
        </w:rPr>
      </w:pPr>
    </w:p>
    <w:p w14:paraId="05E36B7C">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559E59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D08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AD76D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AE895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51AFA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EB742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F3283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7FC22C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58071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688C5D1">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桃江县物业管理所（桃江县住宅专项维修资金管理中心）</w:t>
            </w:r>
          </w:p>
        </w:tc>
      </w:tr>
      <w:tr w14:paraId="3E0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5B7CB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B966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B0AF8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6196972">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全县房地产物业管理规划、计划、实施方案的组织实施；负责城镇规划区内物业管理企业的资质初审、业务指导工作；配合做好物业管理企业的行业管理；对物业管理企业的经营范围、房屋修缮工程质量等进行指导、监督；负责住宅专项维修资金使用的前期查勘和项目实施。</w:t>
            </w:r>
          </w:p>
        </w:tc>
      </w:tr>
      <w:tr w14:paraId="0440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A8F3C3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92E1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2B3F902">
            <w:pPr>
              <w:jc w:val="left"/>
            </w:pPr>
            <w:r>
              <w:rPr>
                <w:rStyle w:val="19"/>
                <w:rFonts w:hint="eastAsia" w:ascii="楷体_GB2312" w:eastAsia="楷体_GB2312" w:cs="楷体_GB2312"/>
                <w:sz w:val="28"/>
                <w:szCs w:val="28"/>
                <w:bdr w:val="none" w:color="auto" w:sz="0" w:space="0"/>
                <w:lang w:val="en-US"/>
              </w:rPr>
              <w:t>桃江县桃花江镇资江路8号</w:t>
            </w:r>
          </w:p>
        </w:tc>
      </w:tr>
      <w:tr w14:paraId="5645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5A6ED7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8814F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1A0FD2F">
            <w:pPr>
              <w:jc w:val="left"/>
            </w:pPr>
            <w:r>
              <w:rPr>
                <w:rStyle w:val="19"/>
                <w:rFonts w:hint="eastAsia" w:ascii="楷体_GB2312" w:eastAsia="楷体_GB2312" w:cs="楷体_GB2312"/>
                <w:sz w:val="28"/>
                <w:szCs w:val="28"/>
                <w:bdr w:val="none" w:color="auto" w:sz="0" w:space="0"/>
                <w:lang w:val="en-US"/>
              </w:rPr>
              <w:t>傅建辉</w:t>
            </w:r>
          </w:p>
        </w:tc>
      </w:tr>
      <w:tr w14:paraId="5BC9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30947E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D881C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CB1298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14:paraId="6271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3D959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9ECA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7521138">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非财政补助</w:t>
            </w:r>
          </w:p>
        </w:tc>
      </w:tr>
      <w:tr w14:paraId="201B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994B6A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32742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B628904">
            <w:pPr>
              <w:jc w:val="left"/>
            </w:pPr>
            <w:r>
              <w:rPr>
                <w:rStyle w:val="19"/>
                <w:rFonts w:hint="eastAsia" w:ascii="楷体_GB2312" w:eastAsia="楷体_GB2312" w:cs="楷体_GB2312"/>
                <w:sz w:val="28"/>
                <w:szCs w:val="28"/>
                <w:bdr w:val="none" w:color="auto" w:sz="0" w:space="0"/>
                <w:lang w:val="en-US"/>
              </w:rPr>
              <w:t>桃江县住房和城乡建设局</w:t>
            </w:r>
          </w:p>
        </w:tc>
      </w:tr>
      <w:tr w14:paraId="719E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8AE13A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A86258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A673F7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0F23156">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75A4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F4B776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01E6CB1">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39DEC9C">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4519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786E24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A07A549">
            <w:pPr>
              <w:jc w:val="center"/>
              <w:rPr>
                <w:sz w:val="32"/>
                <w:szCs w:val="24"/>
                <w:bdr w:val="none" w:color="auto" w:sz="0" w:space="0"/>
                <w:lang w:val="en-US"/>
              </w:rPr>
            </w:pPr>
            <w:r>
              <w:rPr>
                <w:rStyle w:val="18"/>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9380EBE">
            <w:pPr>
              <w:jc w:val="center"/>
            </w:pPr>
            <w:r>
              <w:rPr>
                <w:rStyle w:val="19"/>
                <w:sz w:val="32"/>
                <w:szCs w:val="32"/>
                <w:bdr w:val="none" w:color="auto" w:sz="0" w:space="0"/>
                <w:lang w:val="en-US"/>
              </w:rPr>
              <w:t>1</w:t>
            </w:r>
          </w:p>
        </w:tc>
      </w:tr>
      <w:tr w14:paraId="18AF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A961B6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F5EFFA3">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桃江县物业管理所（桃江县住宅专项维修资金管理中心）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49561A5">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F5B9363">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12</w:t>
            </w:r>
          </w:p>
        </w:tc>
      </w:tr>
      <w:tr w14:paraId="48CB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7062F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E4344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0BB27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F5E9B5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6F0D8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1A4ED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49DEA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F9B7DA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E35B1D4">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严格执行《条例》和实施细则</w:t>
            </w:r>
          </w:p>
        </w:tc>
      </w:tr>
      <w:tr w14:paraId="1F96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BA763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109B5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AD011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E7C76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3755F4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643E2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0BFC8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F53BF73">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0D2BDD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1. 我所与21家物业企业负责人签订了安全生产责任承诺书和安全责任状，配合局燃气管理站对各物业小区共发放天然气安全使用常识和燃气安全使用宣传手册2000余份。 2. 组织全县物业企业工作人员共计50多人参加了全省物业行业安全生产培训会。 3. 组织各物业公司初级消防操作员共37人进行了中级操作培训考试。 4. 配合局创建办不定期对31个物业小区、二个步行街、二个菜市场、二个商业广场进行了创文创卫督查，多次指出问题，并全面督促整改到位，现已完成了省复检工作。 5. 全年共归集维修资金1100万元，受理业主申报使用维修资金294户，已修缮完成278户，涉及受益业主111299户，做到及时为业主排忧解难，切实解决了群众的生活需求问题。 6. 督促物业加强小区安全巡查，发现违章搭建问题及时要求上报，共配合县城市和综合执法局拆除小区违章乱搭乱建87处、移交违法建设线索215起，做到即发即拆，及时排除安全隐患。 7. 指导督促完成了“锦绣城”“武潭华莱”小区的物业承接查验验收工作。 8. 审查完成了“谷山郡”“大汉龙城一期”小区业委会的备案工作。 9. 完成了六个物业小区党支部的换届选举工作，坚持做到党建引领进小区的重要性。 10. 依法监督完成了“翰林院”“桃李天下”的前期物业招投标工作。 11. 全年共处理各类投诉信访件397起，尽量做到让群众满意。 </w:t>
            </w:r>
          </w:p>
          <w:p w14:paraId="2D82535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9DC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DE4A07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9C8E795">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5FB4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0A645E3">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C64EBC3">
            <w:pPr>
              <w:jc w:val="left"/>
            </w:pPr>
            <w:r>
              <w:rPr>
                <w:rStyle w:val="19"/>
                <w:rFonts w:hint="eastAsia" w:ascii="楷体_GB2312" w:eastAsia="楷体_GB2312" w:cs="楷体_GB2312"/>
                <w:sz w:val="28"/>
                <w:szCs w:val="28"/>
                <w:bdr w:val="none" w:color="auto" w:sz="0" w:space="0"/>
                <w:lang w:val="en-US"/>
              </w:rPr>
              <w:t>无</w:t>
            </w:r>
          </w:p>
        </w:tc>
      </w:tr>
      <w:tr w14:paraId="485F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3FF4D2B">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2AF792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F02EDE2">
            <w:pPr>
              <w:jc w:val="left"/>
            </w:pPr>
            <w:r>
              <w:rPr>
                <w:rStyle w:val="19"/>
                <w:rFonts w:hint="eastAsia" w:ascii="楷体_GB2312" w:eastAsia="楷体_GB2312" w:cs="楷体_GB2312"/>
                <w:sz w:val="28"/>
                <w:szCs w:val="28"/>
                <w:bdr w:val="none" w:color="auto" w:sz="0" w:space="0"/>
                <w:lang w:val="en-US"/>
              </w:rPr>
              <w:t>无</w:t>
            </w:r>
          </w:p>
        </w:tc>
      </w:tr>
    </w:tbl>
    <w:p w14:paraId="59ECEEDC">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F381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988</Words>
  <Characters>1061</Characters>
  <Lines>4</Lines>
  <Paragraphs>1</Paragraphs>
  <TotalTime>45455.6875000016</TotalTime>
  <ScaleCrop>false</ScaleCrop>
  <LinksUpToDate>false</LinksUpToDate>
  <CharactersWithSpaces>1118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2024-06-12T08:59:00Z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5249F5418E3143A890E2BA83C3CDCE12_13</vt:lpwstr>
  </property>
</Properties>
</file>