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06E6B2">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12E68CB">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12430922G01821288X</w:t>
      </w:r>
      <w:r>
        <w:rPr>
          <w:rFonts w:eastAsia="楷体_GB2312"/>
          <w:b/>
          <w:bCs/>
          <w:sz w:val="30"/>
          <w:szCs w:val="24"/>
          <w:lang w:val="en-US"/>
        </w:rPr>
        <w:t xml:space="preserve">   </w:t>
      </w:r>
    </w:p>
    <w:p w14:paraId="3702DF45">
      <w:pPr>
        <w:jc w:val="right"/>
        <w:rPr>
          <w:lang w:val="en-US"/>
        </w:rPr>
      </w:pPr>
    </w:p>
    <w:p w14:paraId="6B11A7B0">
      <w:pPr>
        <w:jc w:val="right"/>
        <w:rPr>
          <w:lang w:val="en-US"/>
        </w:rPr>
      </w:pPr>
    </w:p>
    <w:p w14:paraId="5A142A1E">
      <w:pPr>
        <w:jc w:val="right"/>
        <w:rPr>
          <w:lang w:val="en-US"/>
        </w:rPr>
      </w:pPr>
    </w:p>
    <w:p w14:paraId="4179E0D0">
      <w:pPr>
        <w:jc w:val="right"/>
        <w:rPr>
          <w:lang w:val="en-US"/>
        </w:rPr>
      </w:pPr>
    </w:p>
    <w:p w14:paraId="451DEFD2">
      <w:pPr>
        <w:jc w:val="right"/>
        <w:rPr>
          <w:lang w:val="en-US"/>
        </w:rPr>
      </w:pPr>
    </w:p>
    <w:p w14:paraId="092F2E61">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7A04F3DD">
      <w:pPr>
        <w:jc w:val="center"/>
        <w:rPr>
          <w:rFonts w:eastAsia="黑体"/>
          <w:b/>
          <w:bCs/>
          <w:spacing w:val="30"/>
          <w:lang w:val="en-US"/>
        </w:rPr>
      </w:pPr>
    </w:p>
    <w:p w14:paraId="0FD3683C">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247C915C">
      <w:pPr>
        <w:jc w:val="center"/>
        <w:rPr>
          <w:sz w:val="36"/>
          <w:szCs w:val="24"/>
          <w:lang w:val="en-US"/>
        </w:rPr>
      </w:pPr>
    </w:p>
    <w:p w14:paraId="3C9AB3A4">
      <w:pPr>
        <w:jc w:val="center"/>
        <w:rPr>
          <w:sz w:val="36"/>
          <w:szCs w:val="24"/>
          <w:lang w:val="en-US"/>
        </w:rPr>
      </w:pPr>
    </w:p>
    <w:p w14:paraId="7CE9B054">
      <w:pPr>
        <w:jc w:val="center"/>
        <w:rPr>
          <w:sz w:val="36"/>
          <w:szCs w:val="24"/>
          <w:lang w:val="en-US"/>
        </w:rPr>
      </w:pPr>
    </w:p>
    <w:p w14:paraId="28902E5D">
      <w:pPr>
        <w:jc w:val="center"/>
        <w:rPr>
          <w:sz w:val="36"/>
          <w:szCs w:val="24"/>
          <w:lang w:val="en-US"/>
        </w:rPr>
      </w:pPr>
    </w:p>
    <w:p w14:paraId="0CEA5F12">
      <w:pPr>
        <w:jc w:val="center"/>
        <w:rPr>
          <w:sz w:val="36"/>
          <w:szCs w:val="24"/>
          <w:lang w:val="en-US"/>
        </w:rPr>
      </w:pPr>
    </w:p>
    <w:p w14:paraId="0628C0C8">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6D0B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77BFFEA9">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71447A41">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桃江县医疗保障事务中心</w:t>
            </w:r>
          </w:p>
        </w:tc>
      </w:tr>
    </w:tbl>
    <w:p w14:paraId="686704AA">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BA72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5F61A987">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5D8DDBC5">
            <w:pPr>
              <w:keepNext w:val="0"/>
              <w:keepLines w:val="0"/>
              <w:widowControl/>
              <w:suppressLineNumbers w:val="0"/>
              <w:jc w:val="left"/>
              <w:rPr>
                <w:kern w:val="0"/>
                <w:sz w:val="20"/>
                <w:szCs w:val="20"/>
                <w:bdr w:val="none" w:color="auto" w:sz="0" w:space="0"/>
                <w:lang w:val="en-US"/>
              </w:rPr>
            </w:pPr>
          </w:p>
        </w:tc>
      </w:tr>
    </w:tbl>
    <w:p w14:paraId="5FEF2CF9">
      <w:pPr>
        <w:ind w:left="0" w:firstLine="723" w:firstLineChars="300"/>
        <w:rPr>
          <w:rFonts w:hint="eastAsia" w:ascii="黑体" w:hAnsi="宋体" w:eastAsia="黑体" w:cs="黑体"/>
          <w:b/>
          <w:bCs/>
          <w:sz w:val="24"/>
          <w:szCs w:val="24"/>
          <w:u w:val="single"/>
          <w:lang w:val="en-US"/>
        </w:rPr>
      </w:pPr>
    </w:p>
    <w:p w14:paraId="447B6F08">
      <w:pPr>
        <w:jc w:val="center"/>
        <w:rPr>
          <w:rFonts w:hint="eastAsia" w:ascii="黑体" w:hAnsi="宋体" w:eastAsia="黑体" w:cs="黑体"/>
          <w:b/>
          <w:bCs/>
          <w:sz w:val="30"/>
          <w:szCs w:val="24"/>
          <w:u w:val="single"/>
          <w:lang w:val="en-US"/>
        </w:rPr>
      </w:pPr>
    </w:p>
    <w:p w14:paraId="7D254EC0">
      <w:pPr>
        <w:jc w:val="center"/>
        <w:rPr>
          <w:rFonts w:hint="eastAsia" w:ascii="黑体" w:hAnsi="宋体" w:eastAsia="黑体" w:cs="黑体"/>
          <w:b/>
          <w:bCs/>
          <w:sz w:val="30"/>
          <w:szCs w:val="24"/>
          <w:u w:val="single"/>
          <w:lang w:val="en-US"/>
        </w:rPr>
      </w:pPr>
    </w:p>
    <w:p w14:paraId="3365CF82">
      <w:pPr>
        <w:jc w:val="center"/>
        <w:rPr>
          <w:u w:val="single"/>
          <w:lang w:val="en-US"/>
        </w:rPr>
      </w:pPr>
    </w:p>
    <w:p w14:paraId="6158D818">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474F59F8">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3D24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07D83ED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544F97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37A7DA4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18F5963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7BD9C29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CDCC32A">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541C24E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46E3284B">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桃江县医疗保障事务中心</w:t>
            </w:r>
          </w:p>
        </w:tc>
      </w:tr>
      <w:tr w14:paraId="62D70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9BD462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8EC8EA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F95D45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A458CFA">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贯彻执行国家基本医疗、生育保险相关法律、法规、规章和方针政策；负责经办全县城镇职工医疗保险、城乡居民医疗保险和生育保险的个人医疗费用报账业务及管理工作；负责全县离休干部和二级乙等以上革命伤残军人等特殊人群的医疗保障管理、服务；承办跨省和省内异地医疗保障关系转移接续的业务规程；承办跨省和省内异地就医的备案、转诊、就医、“一站式”结算经办事务；承办县医疗保障局交办的其他事项。</w:t>
            </w:r>
          </w:p>
        </w:tc>
      </w:tr>
      <w:tr w14:paraId="0EED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19AA37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8EFA5E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3845141">
            <w:pPr>
              <w:jc w:val="left"/>
            </w:pPr>
            <w:r>
              <w:rPr>
                <w:rStyle w:val="19"/>
                <w:rFonts w:hint="eastAsia" w:ascii="楷体_GB2312" w:eastAsia="楷体_GB2312" w:cs="楷体_GB2312"/>
                <w:sz w:val="28"/>
                <w:szCs w:val="28"/>
                <w:bdr w:val="none" w:color="auto" w:sz="0" w:space="0"/>
                <w:lang w:val="en-US"/>
              </w:rPr>
              <w:t>桃江县桃花江大道100号</w:t>
            </w:r>
          </w:p>
        </w:tc>
      </w:tr>
      <w:tr w14:paraId="1366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4772DF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780E70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D358CEF">
            <w:pPr>
              <w:jc w:val="left"/>
            </w:pPr>
            <w:r>
              <w:rPr>
                <w:rStyle w:val="19"/>
                <w:rFonts w:hint="eastAsia" w:ascii="楷体_GB2312" w:eastAsia="楷体_GB2312" w:cs="楷体_GB2312"/>
                <w:sz w:val="28"/>
                <w:szCs w:val="28"/>
                <w:bdr w:val="none" w:color="auto" w:sz="0" w:space="0"/>
                <w:lang w:val="en-US"/>
              </w:rPr>
              <w:t>李云</w:t>
            </w:r>
          </w:p>
        </w:tc>
      </w:tr>
      <w:tr w14:paraId="556E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615249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A98A9F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2C2B08A">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161.64</w:t>
            </w:r>
            <w:r>
              <w:rPr>
                <w:rStyle w:val="19"/>
                <w:rFonts w:hint="eastAsia" w:ascii="楷体_GB2312" w:eastAsia="楷体_GB2312" w:cs="楷体_GB2312"/>
                <w:sz w:val="28"/>
                <w:szCs w:val="28"/>
                <w:bdr w:val="none" w:color="auto" w:sz="0" w:space="0"/>
              </w:rPr>
              <w:t>（万元）</w:t>
            </w:r>
          </w:p>
        </w:tc>
      </w:tr>
      <w:tr w14:paraId="7398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626131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A1AD1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2D94421">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财政补助（财政补助(全额)）</w:t>
            </w:r>
          </w:p>
        </w:tc>
      </w:tr>
      <w:tr w14:paraId="017D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D011EF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3F5E84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0E3D724">
            <w:pPr>
              <w:jc w:val="left"/>
            </w:pPr>
            <w:r>
              <w:rPr>
                <w:rStyle w:val="19"/>
                <w:rFonts w:hint="eastAsia" w:ascii="楷体_GB2312" w:eastAsia="楷体_GB2312" w:cs="楷体_GB2312"/>
                <w:sz w:val="28"/>
                <w:szCs w:val="28"/>
                <w:bdr w:val="none" w:color="auto" w:sz="0" w:space="0"/>
                <w:lang w:val="en-US"/>
              </w:rPr>
              <w:t>桃江县医疗保障局</w:t>
            </w:r>
          </w:p>
        </w:tc>
      </w:tr>
      <w:tr w14:paraId="180F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3E98DC2B">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2FED002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54DB596">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08F16065">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6C16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959910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FBED945">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175201CD">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24C7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7917DE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181CB9D">
            <w:pPr>
              <w:jc w:val="center"/>
              <w:rPr>
                <w:sz w:val="32"/>
                <w:szCs w:val="24"/>
                <w:bdr w:val="none" w:color="auto" w:sz="0" w:space="0"/>
                <w:lang w:val="en-US"/>
              </w:rPr>
            </w:pPr>
            <w:r>
              <w:rPr>
                <w:rStyle w:val="18"/>
                <w:sz w:val="32"/>
                <w:szCs w:val="24"/>
                <w:bdr w:val="none" w:color="auto" w:sz="0" w:space="0"/>
                <w:lang w:val="en-US"/>
              </w:rPr>
              <w:t>161.64</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3361D398">
            <w:pPr>
              <w:jc w:val="center"/>
            </w:pPr>
            <w:r>
              <w:rPr>
                <w:rStyle w:val="19"/>
                <w:sz w:val="32"/>
                <w:szCs w:val="32"/>
                <w:bdr w:val="none" w:color="auto" w:sz="0" w:space="0"/>
                <w:lang w:val="en-US"/>
              </w:rPr>
              <w:t>161.64</w:t>
            </w:r>
          </w:p>
        </w:tc>
      </w:tr>
      <w:tr w14:paraId="1ECC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9EC652C">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7E0F111">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桃江县医疗保障事务中心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0B9EE2EC">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9759530">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5</w:t>
            </w:r>
          </w:p>
        </w:tc>
      </w:tr>
      <w:tr w14:paraId="18E3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2380B6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2B8FAF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43D4991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DA08C8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3768DC9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1184F5B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425AB41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3D50C2F4">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71496B73">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严格按照《条例》和实施细则有关变更登记规定的执行。</w:t>
            </w:r>
          </w:p>
        </w:tc>
      </w:tr>
      <w:tr w14:paraId="6038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1E17D9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7D15872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B9A61C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3703387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6240BD0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5205414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7BB501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662F6824">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2630DF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一、全面完成城职、城居的普通门诊统筹和城居“两病”用药保障工作。2023年度，职工报销15.6万人次，城乡居民普门报销50.7万人次，“两病”报销11.24万人次，完成了省、市下达的任务。 二、认真落实基本医疗保险特殊门诊工作。2023年，城镇职工、城乡居民共办理十二批次特殊门诊审批，专家鉴定通过18378人。三、全面推进DIP付费改革工作。2023年，全县24家协议医院（脑科医院除外）按全市统一部署实施DIP付费。配合市局督促辖区内医院按月完成DIP数据（结算清单）上传和质控工作。组织或参加DIP付费专题培训5次。完成了2022年度DIP清算工作，按市级统一部署，按月对各定点医药机构进行了住院、门诊资金预拨。对定点药店门诊资金及时进行审核，县域内医疗机构住院费用全部纳入智能监审。完成了全县DIP年终考核及现场指导全覆盖。四、打造县乡村三级医保便民服务站点网络，在全省率先实现村卫生室直接结算全覆盖。五、持续推进异地就医备案工作。城镇职工、城乡居民共办理转诊转院、异地就医登记异地联网备案手续15324人次。 </w:t>
            </w:r>
          </w:p>
          <w:p w14:paraId="2D517A3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1C21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078224A">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C72FF92">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4C60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E786639">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0EE03FA8">
            <w:pPr>
              <w:jc w:val="left"/>
            </w:pPr>
            <w:r>
              <w:rPr>
                <w:rStyle w:val="19"/>
                <w:rFonts w:hint="eastAsia" w:ascii="楷体_GB2312" w:eastAsia="楷体_GB2312" w:cs="楷体_GB2312"/>
                <w:sz w:val="28"/>
                <w:szCs w:val="28"/>
                <w:bdr w:val="none" w:color="auto" w:sz="0" w:space="0"/>
                <w:lang w:val="en-US"/>
              </w:rPr>
              <w:t>无</w:t>
            </w:r>
          </w:p>
        </w:tc>
      </w:tr>
      <w:tr w14:paraId="7EC8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310BEBD">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2AB7586D">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C934122">
            <w:pPr>
              <w:jc w:val="left"/>
            </w:pPr>
            <w:r>
              <w:rPr>
                <w:rStyle w:val="19"/>
                <w:rFonts w:hint="eastAsia" w:ascii="楷体_GB2312" w:eastAsia="楷体_GB2312" w:cs="楷体_GB2312"/>
                <w:sz w:val="28"/>
                <w:szCs w:val="28"/>
                <w:bdr w:val="none" w:color="auto" w:sz="0" w:space="0"/>
                <w:lang w:val="en-US"/>
              </w:rPr>
              <w:t>无</w:t>
            </w:r>
          </w:p>
        </w:tc>
      </w:tr>
    </w:tbl>
    <w:p w14:paraId="634F5980">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3FE06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4"/>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脚 Char"/>
    <w:basedOn w:val="13"/>
    <w:link w:val="8"/>
    <w:locked/>
    <w:uiPriority w:val="0"/>
    <w:rPr>
      <w:rFonts w:hint="default" w:ascii="Times New Roman" w:hAnsi="Times New Roman" w:eastAsia="宋体" w:cs="Times New Roman"/>
      <w:sz w:val="18"/>
      <w:szCs w:val="18"/>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934</Words>
  <Characters>1029</Characters>
  <Lines>4</Lines>
  <Paragraphs>1</Paragraphs>
  <TotalTime>45455.6875000016</TotalTime>
  <ScaleCrop>false</ScaleCrop>
  <LinksUpToDate>false</LinksUpToDate>
  <CharactersWithSpaces>1066</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2024-06-12T08:55:26Z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A1D46FE71EAA452E95623F5718A481B4_13</vt:lpwstr>
  </property>
</Properties>
</file>