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EB2B1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7CF0B56">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12430922MB1D586525</w:t>
      </w:r>
      <w:r>
        <w:rPr>
          <w:rFonts w:eastAsia="楷体_GB2312"/>
          <w:b/>
          <w:bCs/>
          <w:sz w:val="30"/>
          <w:szCs w:val="24"/>
          <w:lang w:val="en-US"/>
        </w:rPr>
        <w:t xml:space="preserve">   </w:t>
      </w:r>
    </w:p>
    <w:p w14:paraId="444D18B1">
      <w:pPr>
        <w:jc w:val="right"/>
        <w:rPr>
          <w:lang w:val="en-US"/>
        </w:rPr>
      </w:pPr>
    </w:p>
    <w:p w14:paraId="6B313C61">
      <w:pPr>
        <w:jc w:val="right"/>
        <w:rPr>
          <w:lang w:val="en-US"/>
        </w:rPr>
      </w:pPr>
    </w:p>
    <w:p w14:paraId="636BB96D">
      <w:pPr>
        <w:jc w:val="right"/>
        <w:rPr>
          <w:lang w:val="en-US"/>
        </w:rPr>
      </w:pPr>
    </w:p>
    <w:p w14:paraId="3879E9D9">
      <w:pPr>
        <w:jc w:val="right"/>
        <w:rPr>
          <w:lang w:val="en-US"/>
        </w:rPr>
      </w:pPr>
    </w:p>
    <w:p w14:paraId="3A7894DE">
      <w:pPr>
        <w:jc w:val="right"/>
        <w:rPr>
          <w:lang w:val="en-US"/>
        </w:rPr>
      </w:pPr>
    </w:p>
    <w:p w14:paraId="75FFAEA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B58DB64">
      <w:pPr>
        <w:jc w:val="center"/>
        <w:rPr>
          <w:rFonts w:eastAsia="黑体"/>
          <w:b/>
          <w:bCs/>
          <w:spacing w:val="30"/>
          <w:lang w:val="en-US"/>
        </w:rPr>
      </w:pPr>
    </w:p>
    <w:p w14:paraId="5339975E">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C184308">
      <w:pPr>
        <w:jc w:val="center"/>
        <w:rPr>
          <w:sz w:val="36"/>
          <w:szCs w:val="24"/>
          <w:lang w:val="en-US"/>
        </w:rPr>
      </w:pPr>
    </w:p>
    <w:p w14:paraId="0BA6786E">
      <w:pPr>
        <w:jc w:val="center"/>
        <w:rPr>
          <w:sz w:val="36"/>
          <w:szCs w:val="24"/>
          <w:lang w:val="en-US"/>
        </w:rPr>
      </w:pPr>
    </w:p>
    <w:p w14:paraId="76ECCEEF">
      <w:pPr>
        <w:jc w:val="center"/>
        <w:rPr>
          <w:sz w:val="36"/>
          <w:szCs w:val="24"/>
          <w:lang w:val="en-US"/>
        </w:rPr>
      </w:pPr>
    </w:p>
    <w:p w14:paraId="410B87FC">
      <w:pPr>
        <w:jc w:val="center"/>
        <w:rPr>
          <w:sz w:val="36"/>
          <w:szCs w:val="24"/>
          <w:lang w:val="en-US"/>
        </w:rPr>
      </w:pPr>
    </w:p>
    <w:p w14:paraId="7BF3702B">
      <w:pPr>
        <w:jc w:val="center"/>
        <w:rPr>
          <w:sz w:val="36"/>
          <w:szCs w:val="24"/>
          <w:lang w:val="en-US"/>
        </w:rPr>
      </w:pPr>
    </w:p>
    <w:p w14:paraId="6721B7B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106D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302763E">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60C4E1E">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桃江县沾溪镇综合行政执法大队</w:t>
            </w:r>
          </w:p>
        </w:tc>
      </w:tr>
    </w:tbl>
    <w:p w14:paraId="0FF8916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D17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02B68D7">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688A503">
            <w:pPr>
              <w:keepNext w:val="0"/>
              <w:keepLines w:val="0"/>
              <w:widowControl/>
              <w:suppressLineNumbers w:val="0"/>
              <w:jc w:val="left"/>
              <w:rPr>
                <w:kern w:val="0"/>
                <w:sz w:val="20"/>
                <w:szCs w:val="20"/>
                <w:bdr w:val="none" w:color="auto" w:sz="0" w:space="0"/>
                <w:lang w:val="en-US"/>
              </w:rPr>
            </w:pPr>
          </w:p>
        </w:tc>
      </w:tr>
    </w:tbl>
    <w:p w14:paraId="740D35BD">
      <w:pPr>
        <w:ind w:left="0" w:firstLine="723" w:firstLineChars="300"/>
        <w:rPr>
          <w:rFonts w:hint="eastAsia" w:ascii="黑体" w:hAnsi="宋体" w:eastAsia="黑体" w:cs="黑体"/>
          <w:b/>
          <w:bCs/>
          <w:sz w:val="24"/>
          <w:szCs w:val="24"/>
          <w:u w:val="single"/>
          <w:lang w:val="en-US"/>
        </w:rPr>
      </w:pPr>
    </w:p>
    <w:p w14:paraId="7C9C7DC8">
      <w:pPr>
        <w:jc w:val="center"/>
        <w:rPr>
          <w:rFonts w:hint="eastAsia" w:ascii="黑体" w:hAnsi="宋体" w:eastAsia="黑体" w:cs="黑体"/>
          <w:b/>
          <w:bCs/>
          <w:sz w:val="30"/>
          <w:szCs w:val="24"/>
          <w:u w:val="single"/>
          <w:lang w:val="en-US"/>
        </w:rPr>
      </w:pPr>
    </w:p>
    <w:p w14:paraId="1B406065">
      <w:pPr>
        <w:jc w:val="center"/>
        <w:rPr>
          <w:rFonts w:hint="eastAsia" w:ascii="黑体" w:hAnsi="宋体" w:eastAsia="黑体" w:cs="黑体"/>
          <w:b/>
          <w:bCs/>
          <w:sz w:val="30"/>
          <w:szCs w:val="24"/>
          <w:u w:val="single"/>
          <w:lang w:val="en-US"/>
        </w:rPr>
      </w:pPr>
    </w:p>
    <w:p w14:paraId="45662E12">
      <w:pPr>
        <w:jc w:val="center"/>
        <w:rPr>
          <w:u w:val="single"/>
          <w:lang w:val="en-US"/>
        </w:rPr>
      </w:pPr>
    </w:p>
    <w:p w14:paraId="374CD51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CA28F7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F27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74E6A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96A0D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9963F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73068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A5B75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A886FD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4453D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A9E2014">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桃江县沾溪镇综合行政执法大队</w:t>
            </w:r>
          </w:p>
        </w:tc>
      </w:tr>
      <w:tr w14:paraId="153A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E448E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9A97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EE8EF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166CF7">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按照相关法律规定相对集中行使行政处罚权，以镇政府名义开展执法工作，接受有关县级主管部门的业务指导和监督。健全镇综合行政执法大队与县级以上各类执法部门的协调机制，构建分工明确、责任到位、优势互补的执法联动保障体系，加强联合执法、联动执法。乡镇综合行政执法大队主要负责本辖区日常执法活动和重大案件线索巡查，县级以上执法部门主要负责重大案件查处和跨乡镇执法活动。</w:t>
            </w:r>
          </w:p>
        </w:tc>
      </w:tr>
      <w:tr w14:paraId="123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1232B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B74D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F0790B6">
            <w:pPr>
              <w:jc w:val="left"/>
            </w:pPr>
            <w:r>
              <w:rPr>
                <w:rStyle w:val="19"/>
                <w:rFonts w:hint="eastAsia" w:ascii="楷体_GB2312" w:eastAsia="楷体_GB2312" w:cs="楷体_GB2312"/>
                <w:sz w:val="28"/>
                <w:szCs w:val="28"/>
                <w:bdr w:val="none" w:color="auto" w:sz="0" w:space="0"/>
                <w:lang w:val="en-US"/>
              </w:rPr>
              <w:t>桃江县沾溪镇人民政府</w:t>
            </w:r>
          </w:p>
        </w:tc>
      </w:tr>
      <w:tr w14:paraId="2459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20999F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724DF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53723AD">
            <w:pPr>
              <w:jc w:val="left"/>
            </w:pPr>
            <w:r>
              <w:rPr>
                <w:rStyle w:val="19"/>
                <w:rFonts w:hint="eastAsia" w:ascii="楷体_GB2312" w:eastAsia="楷体_GB2312" w:cs="楷体_GB2312"/>
                <w:sz w:val="28"/>
                <w:szCs w:val="28"/>
                <w:bdr w:val="none" w:color="auto" w:sz="0" w:space="0"/>
                <w:lang w:val="en-US"/>
              </w:rPr>
              <w:t>熊剑</w:t>
            </w:r>
          </w:p>
        </w:tc>
      </w:tr>
      <w:tr w14:paraId="5A1F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0BF808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AF76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23F854B">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5</w:t>
            </w:r>
            <w:r>
              <w:rPr>
                <w:rStyle w:val="19"/>
                <w:rFonts w:hint="eastAsia" w:ascii="楷体_GB2312" w:eastAsia="楷体_GB2312" w:cs="楷体_GB2312"/>
                <w:sz w:val="28"/>
                <w:szCs w:val="28"/>
                <w:bdr w:val="none" w:color="auto" w:sz="0" w:space="0"/>
              </w:rPr>
              <w:t>（万元）</w:t>
            </w:r>
          </w:p>
        </w:tc>
      </w:tr>
      <w:tr w14:paraId="27BB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816047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2090D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FD20829">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3B00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3D468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E9038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9585B4B">
            <w:pPr>
              <w:jc w:val="left"/>
            </w:pPr>
            <w:r>
              <w:rPr>
                <w:rStyle w:val="19"/>
                <w:rFonts w:hint="eastAsia" w:ascii="楷体_GB2312" w:eastAsia="楷体_GB2312" w:cs="楷体_GB2312"/>
                <w:sz w:val="28"/>
                <w:szCs w:val="28"/>
                <w:bdr w:val="none" w:color="auto" w:sz="0" w:space="0"/>
                <w:lang w:val="en-US"/>
              </w:rPr>
              <w:t>桃江县沾溪镇人民政府</w:t>
            </w:r>
          </w:p>
        </w:tc>
      </w:tr>
      <w:tr w14:paraId="5BEE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CEA2263">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83FB59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3ED697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2DFD65B">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198D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8B5BCF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3DF4B56">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F799B43">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01C1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DEA75F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534DAB3">
            <w:pPr>
              <w:jc w:val="center"/>
              <w:rPr>
                <w:sz w:val="32"/>
                <w:szCs w:val="24"/>
                <w:bdr w:val="none" w:color="auto" w:sz="0" w:space="0"/>
                <w:lang w:val="en-US"/>
              </w:rPr>
            </w:pPr>
            <w:r>
              <w:rPr>
                <w:rStyle w:val="16"/>
                <w:sz w:val="32"/>
                <w:szCs w:val="24"/>
                <w:bdr w:val="none" w:color="auto" w:sz="0" w:space="0"/>
                <w:lang w:val="en-US"/>
              </w:rPr>
              <w:t>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456A45B6">
            <w:pPr>
              <w:jc w:val="center"/>
            </w:pPr>
            <w:r>
              <w:rPr>
                <w:rStyle w:val="19"/>
                <w:sz w:val="32"/>
                <w:szCs w:val="32"/>
                <w:bdr w:val="none" w:color="auto" w:sz="0" w:space="0"/>
                <w:lang w:val="en-US"/>
              </w:rPr>
              <w:t>5</w:t>
            </w:r>
          </w:p>
        </w:tc>
      </w:tr>
      <w:tr w14:paraId="13EF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A4EF2EF">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5033CB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桃江县沾溪镇综合行政执法大队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E40EAD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B085413">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3</w:t>
            </w:r>
          </w:p>
        </w:tc>
      </w:tr>
      <w:tr w14:paraId="20ED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8215A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199B1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C9643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0988A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79DFC6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61F61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B36C6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19231C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0EBC086">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按相关规定执行</w:t>
            </w:r>
          </w:p>
        </w:tc>
      </w:tr>
      <w:tr w14:paraId="719E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3DD47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FCB39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816BC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C158F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974F2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A102C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712C55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2187C7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A38AF8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政府中心工作：交通整治行为：60余次，龙舟安保值勤：15天。 职 责：禁捕巡查：90余次，燃气整治：12次，耕地保护巡查：70余次，秸杆禁烧巡查：20余次。 立案查处情况：非法占地：2宗，非法取石：1宗，非法捕捞案：3宗，秸秆禁烧：2宗，动物未检疫运输：1宗。 存在的问题：在禁捕工作中，电鱼团伙设备高端，流动性强，无有效线索。 </w:t>
            </w:r>
          </w:p>
          <w:p w14:paraId="2ED3887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C92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991444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45C637D">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2025年5月21日</w:t>
            </w:r>
          </w:p>
        </w:tc>
      </w:tr>
      <w:tr w14:paraId="11B9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757D34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23FE2C55">
            <w:pPr>
              <w:jc w:val="left"/>
            </w:pPr>
            <w:r>
              <w:rPr>
                <w:rStyle w:val="19"/>
                <w:rFonts w:hint="eastAsia" w:ascii="楷体_GB2312" w:eastAsia="楷体_GB2312" w:cs="楷体_GB2312"/>
                <w:sz w:val="28"/>
                <w:szCs w:val="28"/>
                <w:bdr w:val="none" w:color="auto" w:sz="0" w:space="0"/>
                <w:lang w:val="en-US"/>
              </w:rPr>
              <w:t>无</w:t>
            </w:r>
          </w:p>
        </w:tc>
      </w:tr>
      <w:tr w14:paraId="2241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0549C1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29B8A605">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434A072">
            <w:pPr>
              <w:jc w:val="left"/>
            </w:pPr>
            <w:r>
              <w:rPr>
                <w:rStyle w:val="19"/>
                <w:rFonts w:hint="eastAsia" w:ascii="楷体_GB2312" w:eastAsia="楷体_GB2312" w:cs="楷体_GB2312"/>
                <w:sz w:val="28"/>
                <w:szCs w:val="28"/>
                <w:bdr w:val="none" w:color="auto" w:sz="0" w:space="0"/>
                <w:lang w:val="en-US"/>
              </w:rPr>
              <w:t>无</w:t>
            </w:r>
          </w:p>
        </w:tc>
      </w:tr>
    </w:tbl>
    <w:p w14:paraId="00DDAB57">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E086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652</Words>
  <Characters>697</Characters>
  <Lines>4</Lines>
  <Paragraphs>1</Paragraphs>
  <TotalTime>45456.3750000016</TotalTime>
  <ScaleCrop>false</ScaleCrop>
  <LinksUpToDate>false</LinksUpToDate>
  <CharactersWithSpaces>737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2024-06-13T01:24:30Z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EF64D903814A4970843CD3631F0670D5_13</vt:lpwstr>
  </property>
</Properties>
</file>