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DD21A67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762B37A8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6"/>
          <w:b/>
          <w:bCs/>
          <w:sz w:val="30"/>
          <w:szCs w:val="30"/>
          <w:lang w:val="en-US"/>
        </w:rPr>
        <w:t>12430922553041726J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6E89A64B">
      <w:pPr>
        <w:jc w:val="right"/>
        <w:rPr>
          <w:lang w:val="en-US"/>
        </w:rPr>
      </w:pPr>
    </w:p>
    <w:p w14:paraId="5250FF50">
      <w:pPr>
        <w:jc w:val="right"/>
        <w:rPr>
          <w:lang w:val="en-US"/>
        </w:rPr>
      </w:pPr>
    </w:p>
    <w:p w14:paraId="6D91F447">
      <w:pPr>
        <w:jc w:val="right"/>
        <w:rPr>
          <w:lang w:val="en-US"/>
        </w:rPr>
      </w:pPr>
    </w:p>
    <w:p w14:paraId="3A896BDF">
      <w:pPr>
        <w:jc w:val="right"/>
        <w:rPr>
          <w:lang w:val="en-US"/>
        </w:rPr>
      </w:pPr>
    </w:p>
    <w:p w14:paraId="1BC4E661">
      <w:pPr>
        <w:jc w:val="right"/>
        <w:rPr>
          <w:lang w:val="en-US"/>
        </w:rPr>
      </w:pPr>
    </w:p>
    <w:p w14:paraId="1C1CD55A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7FC61C94">
      <w:pPr>
        <w:jc w:val="center"/>
        <w:rPr>
          <w:rFonts w:eastAsia="黑体"/>
          <w:b/>
          <w:bCs/>
          <w:spacing w:val="30"/>
          <w:lang w:val="en-US"/>
        </w:rPr>
      </w:pPr>
    </w:p>
    <w:p w14:paraId="1DCD6E96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6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5403025B">
      <w:pPr>
        <w:jc w:val="center"/>
        <w:rPr>
          <w:sz w:val="36"/>
          <w:szCs w:val="24"/>
          <w:lang w:val="en-US"/>
        </w:rPr>
      </w:pPr>
    </w:p>
    <w:p w14:paraId="5C6EAD06">
      <w:pPr>
        <w:jc w:val="center"/>
        <w:rPr>
          <w:sz w:val="36"/>
          <w:szCs w:val="24"/>
          <w:lang w:val="en-US"/>
        </w:rPr>
      </w:pPr>
    </w:p>
    <w:p w14:paraId="7438B5C0">
      <w:pPr>
        <w:jc w:val="center"/>
        <w:rPr>
          <w:sz w:val="36"/>
          <w:szCs w:val="24"/>
          <w:lang w:val="en-US"/>
        </w:rPr>
      </w:pPr>
    </w:p>
    <w:p w14:paraId="24DB727B">
      <w:pPr>
        <w:jc w:val="center"/>
        <w:rPr>
          <w:sz w:val="36"/>
          <w:szCs w:val="24"/>
          <w:lang w:val="en-US"/>
        </w:rPr>
      </w:pPr>
    </w:p>
    <w:p w14:paraId="327C3FDA">
      <w:pPr>
        <w:jc w:val="center"/>
        <w:rPr>
          <w:sz w:val="36"/>
          <w:szCs w:val="24"/>
          <w:lang w:val="en-US"/>
        </w:rPr>
      </w:pPr>
    </w:p>
    <w:p w14:paraId="33228F85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7B51F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5D241076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52DCC0A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桃江县沾溪镇卫生院</w:t>
            </w:r>
          </w:p>
        </w:tc>
      </w:tr>
    </w:tbl>
    <w:p w14:paraId="6806429F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28CA2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04EDF32C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20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405D3B0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56EE432F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09E118D2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477E28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9352AB8">
      <w:pPr>
        <w:jc w:val="center"/>
        <w:rPr>
          <w:u w:val="single"/>
          <w:lang w:val="en-US"/>
        </w:rPr>
      </w:pPr>
    </w:p>
    <w:p w14:paraId="52EA9789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085BBB0F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212A8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9ED6A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3EC2C95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0F01649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505B467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346C34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71C67804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C2D58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EC33226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桃江县沾溪镇卫生院</w:t>
            </w:r>
          </w:p>
        </w:tc>
      </w:tr>
      <w:tr w14:paraId="1A3EA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9F1DE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88ABD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36F57DE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51A7CBA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为人民身体健康提供医疗与预防保健服务。 医疗、常见多发病护理 恢复期病人康复治疗与护理 预防保健、初级卫生保健规划实施 合作医疗组织与管理 卫生监督与卫生信息管理</w:t>
            </w:r>
          </w:p>
        </w:tc>
      </w:tr>
      <w:tr w14:paraId="101D3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9A64A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FF4A5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6EBDEE5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桃江县沾溪镇白沙洲村</w:t>
            </w:r>
          </w:p>
        </w:tc>
      </w:tr>
      <w:tr w14:paraId="74D1C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FA266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686CD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F832803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张良</w:t>
            </w:r>
          </w:p>
        </w:tc>
      </w:tr>
      <w:tr w14:paraId="2FA3E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CED43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E58AD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FDF5A5B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631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4A038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F5649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59C84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2FC1DDE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5FDD9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31EB6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C156D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61FA77F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桃江县卫生健康局</w:t>
            </w:r>
          </w:p>
        </w:tc>
      </w:tr>
      <w:tr w14:paraId="66BF9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12B03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23AF1FE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2C861B3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783922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7C769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733C3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D2479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78B63F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2E7C8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8DCD2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01032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872.85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DDF1291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884.85</w:t>
            </w:r>
          </w:p>
        </w:tc>
      </w:tr>
      <w:tr w14:paraId="0B49E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1679D9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B5CC22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桃江县沾溪镇卫生院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8FCF8F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6FE349E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39</w:t>
            </w:r>
          </w:p>
        </w:tc>
      </w:tr>
      <w:tr w14:paraId="74F87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05A67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41E1E7E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20A6532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36B7E9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6061083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42DE072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67939C7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639A06C8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AFC999C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开办资金由原来的872万元变更为884万元.已进行变更登记。</w:t>
            </w:r>
          </w:p>
        </w:tc>
      </w:tr>
      <w:tr w14:paraId="4FA66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D1CCAA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071D271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13FAC6A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68A7A3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5A33EBC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3909841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75CD671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02473582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6CAF71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（一）工作开展情况： 一、强化组织建设与政治能力，筑牢安全底线。 加强理论学习，提升了政治能力。全年开展主题党日活动12次，组织生活会1次，医德医风考评1次，联点领导、支部班子等主讲党课5次，微党课12次；组织到汝城红色教育基地、张子清红色教育基地学习2次；通过一系列的措施，强化了党员、干部的理想信念，引导党员、干部在工作中充分发挥模范带头作用，极大的提高了医院整体战斗力。加强组织建设，夯实政治根基。认真落实“一岗双责”，进一步建立健全了支委班子议事规则，提高班子决策能力与水平，增强了凝聚力。始终坚持把意识形态作为政治建设的主要内容，加强正面宣传，身边先进事迹上稿报道10次。加强党风廉政建设，牢固树立安全意识。以“作风建设年”为抓手，以“清廉医院”为契机，开展“酒后驾车违法行为”、“医疗机构工作人员廉洁从业九项准则”相关培训与考试，签订廉洁行医、杜绝酒后驾车承诺书；落实“五医联动”集中整治工作，全面梳理问题清单，对照进行销号整改；转变工作作风，为民服务办实事，开展家庭医生慢病个性化签约服务，走访慰问困难群众等志愿服务活动，提高了宗旨意识，赢得了群众的好评。 二、加强能力提升与经济管理，全面推进“卓越服务”。 持续按照“能力提升年”、“经济管理年”的工作要求开展工作，全面完成了上级下达的各项工作任务和年初重点工作。1、进一步完善全面预算管理，财务运行年终收支两抵盈余10万元，完成了年度预算目标，基本保障了职工待遇。2、医疗服务能力提高，全年完成医疗业务530万，较去年同比增长6.6%，业务结构进一步优化，医疗服务性收入较去年同比增长3.4%，医疗质量也进一步提高。3、中医药服务能力逐步增长，全年中医药收入196万元，较去年同比增长16%,中医适宜技术收入98万元,较去年同比增长16%。4、深入开展卓越服务，医务人员服务群众的理念有所提升，群众就医获得感得到提高，医院获群众赠锦旗感谢3次。5、落实了基本公卫，公共卫生坚持做实做细，注重医防融合，今年成绩排名较去年上升4个名次，公卫经费收入得到了有效保障。6、确保了安全生产，全年无医疗责任事故发生；院感、环保、消防等未出现安全差错。7、重视人才培养，培养西学中1人，参加短期培训6人；院内开展三基培训，提高基础理论水平，全县“三基竞赛”取得团体第一、个人第二的不菲成绩。8、统筹推进了统战工作、法治建设、乡村振兴、综合治理、人居环境整治、无偿献血、创文创卫等各项基础性工作。防范化解重大风险方面，积极介入成功化解一起“尿毒症”群众关于“慢病特门医保报销”集体上访事件。 （二）存在的问题。 一、干职工思想转变不够彻底：虽然反复和干职工阐述强调目前的政治、经济、医保改革等领域的高压形势，但目前思想还没有完全的转变过来，危机意识不够强，还存在不同程度的“等”“靠”思想。 二、能力提升不够快：临床一线和辅助科室因为人员紧张，同时也因为队伍老龄化，难于安排相关人员进修学习，靠自学和授课式的培训，专业技术水平提升慢，跟不上目前的现实需要（比如分级诊疗中的要求、DIP“CMI值提高”）。 三、财政投入不足：我院医疗业务已经连续多年创新高，根据现有辖区内医疗资源，医疗业务的发展已经达到或接近瓶颈；同时因我镇辖区人口较少，医院规模较小等因素限制了财政投入总额，近两年，因为落实了全面预算管理才能勉强维持运转。目前，“开源”与“节流”均已经将近“力竭”，下一步只能面临缩减人员支出，亟待加大上级财政的投入。 （三）下一步的打算。 一、提高干职工思想认识，尽快适应政策，树立危机意识，放弃“坐”“等”“靠”，全力生产自救。 二、人才引进与能力提升，制定人才引进措施，引进专业技术人员，完成人才梯队的储备、培养。竭力完成临床进修，尽快提高临床服务能力水平，应对村和县级的“潜在竞争”。 三、加强医院财务管理，充分利用全面预算管理，开源节流，减少医院债务，降低财务运行风险。 四、加强医保政策的运用，尽快适应“DIP付费改革”，探索与DIP付费相适应的绩效考核方案。 </w:t>
            </w:r>
          </w:p>
          <w:p w14:paraId="1E43A91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13403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A1DBF7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16E7A89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桃江县沾溪镇卫生院医疗执业许可证登记号PDY00021243092212C2201 有效期到2024年08月23日</w:t>
            </w:r>
          </w:p>
        </w:tc>
      </w:tr>
      <w:tr w14:paraId="71594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535138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EBDAE48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无此类情况</w:t>
            </w:r>
          </w:p>
        </w:tc>
      </w:tr>
      <w:tr w14:paraId="2E4B0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14B3236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621AF07A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491C385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无接受捐赠情况</w:t>
            </w:r>
          </w:p>
        </w:tc>
      </w:tr>
    </w:tbl>
    <w:p w14:paraId="2D6C8A56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23567A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9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7">
    <w:name w:val="hps"/>
    <w:basedOn w:val="13"/>
    <w:uiPriority w:val="0"/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0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Words>2055</Words>
  <Characters>2161</Characters>
  <Lines>4</Lines>
  <Paragraphs>1</Paragraphs>
  <TotalTime>45456.4062500016</TotalTime>
  <ScaleCrop>false</ScaleCrop>
  <LinksUpToDate>false</LinksUpToDate>
  <CharactersWithSpaces>2216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2024-06-13T02:05:50Z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28E2F06185FE43E9811052E6510EC07F_13</vt:lpwstr>
  </property>
</Properties>
</file>