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2B4CE2">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ED6F80F">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12430922MB1C57616K</w:t>
      </w:r>
      <w:r>
        <w:rPr>
          <w:rFonts w:eastAsia="楷体_GB2312"/>
          <w:b/>
          <w:bCs/>
          <w:sz w:val="30"/>
          <w:szCs w:val="24"/>
          <w:lang w:val="en-US"/>
        </w:rPr>
        <w:t xml:space="preserve">   </w:t>
      </w:r>
    </w:p>
    <w:p w14:paraId="71B2C77B">
      <w:pPr>
        <w:jc w:val="right"/>
        <w:rPr>
          <w:lang w:val="en-US"/>
        </w:rPr>
      </w:pPr>
    </w:p>
    <w:p w14:paraId="0E6EC0F4">
      <w:pPr>
        <w:jc w:val="right"/>
        <w:rPr>
          <w:lang w:val="en-US"/>
        </w:rPr>
      </w:pPr>
    </w:p>
    <w:p w14:paraId="74AF08FC">
      <w:pPr>
        <w:jc w:val="right"/>
        <w:rPr>
          <w:lang w:val="en-US"/>
        </w:rPr>
      </w:pPr>
    </w:p>
    <w:p w14:paraId="25626EF8">
      <w:pPr>
        <w:jc w:val="right"/>
        <w:rPr>
          <w:lang w:val="en-US"/>
        </w:rPr>
      </w:pPr>
    </w:p>
    <w:p w14:paraId="5EBA0B12">
      <w:pPr>
        <w:jc w:val="right"/>
        <w:rPr>
          <w:lang w:val="en-US"/>
        </w:rPr>
      </w:pPr>
    </w:p>
    <w:p w14:paraId="7D9A3118">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53B7991">
      <w:pPr>
        <w:jc w:val="center"/>
        <w:rPr>
          <w:rFonts w:eastAsia="黑体"/>
          <w:b/>
          <w:bCs/>
          <w:spacing w:val="30"/>
          <w:lang w:val="en-US"/>
        </w:rPr>
      </w:pPr>
    </w:p>
    <w:p w14:paraId="0BD0507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D1E3D14">
      <w:pPr>
        <w:jc w:val="center"/>
        <w:rPr>
          <w:sz w:val="36"/>
          <w:szCs w:val="24"/>
          <w:lang w:val="en-US"/>
        </w:rPr>
      </w:pPr>
    </w:p>
    <w:p w14:paraId="3CA7A065">
      <w:pPr>
        <w:jc w:val="center"/>
        <w:rPr>
          <w:sz w:val="36"/>
          <w:szCs w:val="24"/>
          <w:lang w:val="en-US"/>
        </w:rPr>
      </w:pPr>
    </w:p>
    <w:p w14:paraId="44F8AAC2">
      <w:pPr>
        <w:jc w:val="center"/>
        <w:rPr>
          <w:sz w:val="36"/>
          <w:szCs w:val="24"/>
          <w:lang w:val="en-US"/>
        </w:rPr>
      </w:pPr>
    </w:p>
    <w:p w14:paraId="6A5B8162">
      <w:pPr>
        <w:jc w:val="center"/>
        <w:rPr>
          <w:sz w:val="36"/>
          <w:szCs w:val="24"/>
          <w:lang w:val="en-US"/>
        </w:rPr>
      </w:pPr>
    </w:p>
    <w:p w14:paraId="337B03F9">
      <w:pPr>
        <w:jc w:val="center"/>
        <w:rPr>
          <w:sz w:val="36"/>
          <w:szCs w:val="24"/>
          <w:lang w:val="en-US"/>
        </w:rPr>
      </w:pPr>
    </w:p>
    <w:p w14:paraId="0125C5A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665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539A96F">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D642D67">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桃江县鲊埠回族乡退役军人服务站</w:t>
            </w:r>
          </w:p>
        </w:tc>
      </w:tr>
    </w:tbl>
    <w:p w14:paraId="51775E27">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5FA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B6080B7">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4219C8C">
            <w:pPr>
              <w:keepNext w:val="0"/>
              <w:keepLines w:val="0"/>
              <w:widowControl/>
              <w:suppressLineNumbers w:val="0"/>
              <w:jc w:val="left"/>
              <w:rPr>
                <w:kern w:val="0"/>
                <w:sz w:val="20"/>
                <w:szCs w:val="20"/>
                <w:bdr w:val="none" w:color="auto" w:sz="0" w:space="0"/>
                <w:lang w:val="en-US"/>
              </w:rPr>
            </w:pPr>
          </w:p>
        </w:tc>
      </w:tr>
    </w:tbl>
    <w:p w14:paraId="587EACE4">
      <w:pPr>
        <w:ind w:left="0" w:firstLine="723" w:firstLineChars="300"/>
        <w:rPr>
          <w:rFonts w:hint="eastAsia" w:ascii="黑体" w:hAnsi="宋体" w:eastAsia="黑体" w:cs="黑体"/>
          <w:b/>
          <w:bCs/>
          <w:sz w:val="24"/>
          <w:szCs w:val="24"/>
          <w:u w:val="single"/>
          <w:lang w:val="en-US"/>
        </w:rPr>
      </w:pPr>
    </w:p>
    <w:p w14:paraId="37F35344">
      <w:pPr>
        <w:jc w:val="center"/>
        <w:rPr>
          <w:rFonts w:hint="eastAsia" w:ascii="黑体" w:hAnsi="宋体" w:eastAsia="黑体" w:cs="黑体"/>
          <w:b/>
          <w:bCs/>
          <w:sz w:val="30"/>
          <w:szCs w:val="24"/>
          <w:u w:val="single"/>
          <w:lang w:val="en-US"/>
        </w:rPr>
      </w:pPr>
    </w:p>
    <w:p w14:paraId="718B02D1">
      <w:pPr>
        <w:jc w:val="center"/>
        <w:rPr>
          <w:rFonts w:hint="eastAsia" w:ascii="黑体" w:hAnsi="宋体" w:eastAsia="黑体" w:cs="黑体"/>
          <w:b/>
          <w:bCs/>
          <w:sz w:val="30"/>
          <w:szCs w:val="24"/>
          <w:u w:val="single"/>
          <w:lang w:val="en-US"/>
        </w:rPr>
      </w:pPr>
    </w:p>
    <w:p w14:paraId="28AA757C">
      <w:pPr>
        <w:jc w:val="center"/>
        <w:rPr>
          <w:u w:val="single"/>
          <w:lang w:val="en-US"/>
        </w:rPr>
      </w:pPr>
    </w:p>
    <w:p w14:paraId="6B9466B5">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F45EEC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069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8F15A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A8383A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74BE55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FCDAAE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E7CA6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CBE6F8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79A79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09EB8DC">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桃江县鲊埠回族乡退役军人服务站</w:t>
            </w:r>
          </w:p>
        </w:tc>
      </w:tr>
      <w:tr w14:paraId="6BDA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4007A7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599B87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363D4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8C9C56C">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负责退役军人就业创业、优抚帮扶、权益保障、数据信息采集、走访慰问等事务性工作。承办党委、政府和上级业务部门交办的其他事项。</w:t>
            </w:r>
          </w:p>
        </w:tc>
      </w:tr>
      <w:tr w14:paraId="27B0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A1D1C3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C7D2A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FDA729D">
            <w:pPr>
              <w:jc w:val="left"/>
            </w:pPr>
            <w:r>
              <w:rPr>
                <w:rStyle w:val="14"/>
                <w:rFonts w:hint="eastAsia" w:ascii="楷体_GB2312" w:eastAsia="楷体_GB2312" w:cs="楷体_GB2312"/>
                <w:sz w:val="28"/>
                <w:szCs w:val="28"/>
                <w:bdr w:val="none" w:color="auto" w:sz="0" w:space="0"/>
                <w:lang w:val="en-US"/>
              </w:rPr>
              <w:t>桃江县鲊埠回族乡车门塅村</w:t>
            </w:r>
          </w:p>
        </w:tc>
      </w:tr>
      <w:tr w14:paraId="37A4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E3C934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9A201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AE6B522">
            <w:pPr>
              <w:jc w:val="left"/>
            </w:pPr>
            <w:r>
              <w:rPr>
                <w:rStyle w:val="14"/>
                <w:rFonts w:hint="eastAsia" w:ascii="楷体_GB2312" w:eastAsia="楷体_GB2312" w:cs="楷体_GB2312"/>
                <w:sz w:val="28"/>
                <w:szCs w:val="28"/>
                <w:bdr w:val="none" w:color="auto" w:sz="0" w:space="0"/>
                <w:lang w:val="en-US"/>
              </w:rPr>
              <w:t>詹望来</w:t>
            </w:r>
          </w:p>
        </w:tc>
      </w:tr>
      <w:tr w14:paraId="08C9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AA0BD0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244DC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F5F2EBC">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1</w:t>
            </w:r>
            <w:r>
              <w:rPr>
                <w:rStyle w:val="14"/>
                <w:rFonts w:hint="eastAsia" w:ascii="楷体_GB2312" w:eastAsia="楷体_GB2312" w:cs="楷体_GB2312"/>
                <w:sz w:val="28"/>
                <w:szCs w:val="28"/>
                <w:bdr w:val="none" w:color="auto" w:sz="0" w:space="0"/>
              </w:rPr>
              <w:t>（万元）</w:t>
            </w:r>
          </w:p>
        </w:tc>
      </w:tr>
      <w:tr w14:paraId="3311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0D4E79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293E2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34D65B1">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w:t>
            </w:r>
          </w:p>
        </w:tc>
      </w:tr>
      <w:tr w14:paraId="53F6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E7559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AD4E1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44897A4">
            <w:pPr>
              <w:jc w:val="left"/>
            </w:pPr>
            <w:r>
              <w:rPr>
                <w:rStyle w:val="14"/>
                <w:rFonts w:hint="eastAsia" w:ascii="楷体_GB2312" w:eastAsia="楷体_GB2312" w:cs="楷体_GB2312"/>
                <w:sz w:val="28"/>
                <w:szCs w:val="28"/>
                <w:bdr w:val="none" w:color="auto" w:sz="0" w:space="0"/>
                <w:lang w:val="en-US"/>
              </w:rPr>
              <w:t>桃江县鲊埠回族乡人民政府</w:t>
            </w:r>
          </w:p>
        </w:tc>
      </w:tr>
      <w:tr w14:paraId="190E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86A781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1281D7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D4DBB4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239F0C2">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2B72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9811BB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57AC040">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ABFA0F9">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2CC0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69D879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D71DEE3">
            <w:pPr>
              <w:jc w:val="center"/>
              <w:rPr>
                <w:sz w:val="32"/>
                <w:szCs w:val="24"/>
                <w:bdr w:val="none" w:color="auto" w:sz="0" w:space="0"/>
                <w:lang w:val="en-US"/>
              </w:rPr>
            </w:pPr>
            <w:r>
              <w:rPr>
                <w:rStyle w:val="19"/>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DE582AA">
            <w:pPr>
              <w:jc w:val="center"/>
            </w:pPr>
            <w:r>
              <w:rPr>
                <w:rStyle w:val="14"/>
                <w:sz w:val="32"/>
                <w:szCs w:val="32"/>
                <w:bdr w:val="none" w:color="auto" w:sz="0" w:space="0"/>
                <w:lang w:val="en-US"/>
              </w:rPr>
              <w:t>1</w:t>
            </w:r>
          </w:p>
        </w:tc>
      </w:tr>
      <w:tr w14:paraId="19635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D6C80EA">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C9346CA">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桃江县鲊埠回族乡退役军人服务站</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6BD52D83">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F943141">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3</w:t>
            </w:r>
          </w:p>
        </w:tc>
      </w:tr>
      <w:tr w14:paraId="0C91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4D537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61880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83E34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89E0C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130928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8589A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E7C85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3C810A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E4A810E">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严格按照《条例》和实施细则有关规定执行，本年度无变更登记项目。</w:t>
            </w:r>
          </w:p>
        </w:tc>
      </w:tr>
      <w:tr w14:paraId="28BC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72059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62B40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7421B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5FD8E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8CD09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B4EB7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0B71F5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E4A20DC">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A72974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一）“一站一策”，细微之中夯实基础。我乡对标退役军人服务站创建标准和“五有”要求，统筹安排，有的放矢，不断夯实乡、村两级服务站基础设施建设。一是成立了由书记任组长的退役军人事务工作领导小组，逐个对辖区内9个服务站进行调研，为“一站一策”提供指导性意见；二是对建成的服务站开展“回头看”，总结得失，完善细节，进一步优化提升。 （二）“一人一档”，慎微之中严格管理。进一步加强乡退役军人档案管理工作，提升档案业务水平，推进档案建设规范化、标准化、数字化。一是认真向上级部门学习相关档案管理办法，熟练掌握档案整理方面相关要求及规定；二是联合乡武装部等部门对辖区退役军人和其他优抚对象进行精准信息采集，实行“一人一档”精准管理；三是在采集过程中，针对档案材料不齐全、不规范的，根据材料内容和性质的不同，采取补充收集、原件复印、完善手续等方式，进行补充和规范，对收集上来的材料，仔细核对信息表、签名笔体等信息，慎之又慎，严把鉴别关，确保档案资料完整齐全。全乡共完成402份档案。 （三）“一校一军”，微言之中传承军魂。发掘典型，在典型引领中树立新风尚，广泛宣传退役军人中涌现出的先进事迹，在乡域营造出关心国防、拥军爱军、尊崇军人的浓厚氛围。一是南京湾村服务站设置退役军人光荣榜，展示辖区内优秀退役军人的事迹，激励广大退役军人“退伍不褪色”；二是彰显军人荣誉，对江家坝村荣立二等功的胡文浩现役军人进行大张旗鼓地宣传和走访，提振现役军人和退役军人的荣誉感；三是把优秀退役军人作为村级后备力量的重要来源，鼓励符合条件的退役军人党员竞选村（社区）“两委”班子成员。 （四）双拥活动深入开展。一是元旦、春节期间开展了重点优抚对象走访慰问、送年历画报、上门走访立功受奖现役军人家属等活动；二是完成187名优抚对象的生存认证工作。目前已全部完成生存认证工作。 （五）按时做好各项抚恤补助的发放工作。全乡现有享受抚恤补助待遇的优抚对象有187人。按照要求及时、足额、发放各种补助。共计发放共计1250224元（壹佰贰拾伍万零贰佰贰拾肆元）&amp;#160; （六）严格监管专项资金，做到专款专用。对村（社区）上报确实有困难的退役军人，按程序，按要求，严格把关，积极走访核实，救助到位。 （七）定期进行矛盾排查，做好涉军群里信访稳定工作。重要节点特护期，我乡加强对重点维稳人员的动态关注及应对预案，落实“五包一”稳控措施，密切关注信访人生活和思想状态，防范风险，确保稳定。目前，我乡涉军群体情况较稳定，暂无不稳定因素。 </w:t>
            </w:r>
          </w:p>
          <w:p w14:paraId="0C23077F">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53AB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5B19517">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DA65A7A">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5年</w:t>
            </w:r>
          </w:p>
        </w:tc>
      </w:tr>
      <w:tr w14:paraId="2F60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4F22F7F">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E265C5B">
            <w:pPr>
              <w:jc w:val="left"/>
            </w:pPr>
            <w:r>
              <w:rPr>
                <w:rStyle w:val="14"/>
                <w:rFonts w:hint="eastAsia" w:ascii="楷体_GB2312" w:eastAsia="楷体_GB2312" w:cs="楷体_GB2312"/>
                <w:sz w:val="28"/>
                <w:szCs w:val="28"/>
                <w:bdr w:val="none" w:color="auto" w:sz="0" w:space="0"/>
                <w:lang w:val="en-US"/>
              </w:rPr>
              <w:t>无</w:t>
            </w:r>
          </w:p>
        </w:tc>
      </w:tr>
      <w:tr w14:paraId="1DAA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1182C24">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67E5512">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6E13AAF">
            <w:pPr>
              <w:jc w:val="left"/>
            </w:pPr>
            <w:r>
              <w:rPr>
                <w:rStyle w:val="14"/>
                <w:rFonts w:hint="eastAsia" w:ascii="楷体_GB2312" w:eastAsia="楷体_GB2312" w:cs="楷体_GB2312"/>
                <w:sz w:val="28"/>
                <w:szCs w:val="28"/>
                <w:bdr w:val="none" w:color="auto" w:sz="0" w:space="0"/>
                <w:lang w:val="en-US"/>
              </w:rPr>
              <w:t>无</w:t>
            </w:r>
          </w:p>
        </w:tc>
      </w:tr>
    </w:tbl>
    <w:p w14:paraId="40A50C39">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C6E0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hps"/>
    <w:basedOn w:val="13"/>
    <w:uiPriority w:val="0"/>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1430</Words>
  <Characters>1482</Characters>
  <Lines>4</Lines>
  <Paragraphs>1</Paragraphs>
  <TotalTime>45456.3750000016</TotalTime>
  <ScaleCrop>false</ScaleCrop>
  <LinksUpToDate>false</LinksUpToDate>
  <CharactersWithSpaces>1524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2024-06-13T01:09:48Z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FC1BCA4CCEBD4F99A58666BAA4338FC1_13</vt:lpwstr>
  </property>
</Properties>
</file>