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E17C6F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08145AD5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5"/>
          <w:b/>
          <w:bCs/>
          <w:sz w:val="30"/>
          <w:szCs w:val="30"/>
          <w:lang w:val="en-US"/>
        </w:rPr>
        <w:t>12430922MB0L94763W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2C6198A4">
      <w:pPr>
        <w:jc w:val="right"/>
        <w:rPr>
          <w:lang w:val="en-US"/>
        </w:rPr>
      </w:pPr>
    </w:p>
    <w:p w14:paraId="365FEC2D">
      <w:pPr>
        <w:jc w:val="right"/>
        <w:rPr>
          <w:lang w:val="en-US"/>
        </w:rPr>
      </w:pPr>
    </w:p>
    <w:p w14:paraId="7915D3BC">
      <w:pPr>
        <w:jc w:val="right"/>
        <w:rPr>
          <w:lang w:val="en-US"/>
        </w:rPr>
      </w:pPr>
    </w:p>
    <w:p w14:paraId="77EC67AF">
      <w:pPr>
        <w:jc w:val="right"/>
        <w:rPr>
          <w:lang w:val="en-US"/>
        </w:rPr>
      </w:pPr>
    </w:p>
    <w:p w14:paraId="4D11A0AF">
      <w:pPr>
        <w:jc w:val="right"/>
        <w:rPr>
          <w:lang w:val="en-US"/>
        </w:rPr>
      </w:pPr>
    </w:p>
    <w:p w14:paraId="38C5D024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3F73381B">
      <w:pPr>
        <w:jc w:val="center"/>
        <w:rPr>
          <w:rFonts w:eastAsia="黑体"/>
          <w:b/>
          <w:bCs/>
          <w:spacing w:val="30"/>
          <w:lang w:val="en-US"/>
        </w:rPr>
      </w:pPr>
    </w:p>
    <w:p w14:paraId="09B78356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5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6D9332DC">
      <w:pPr>
        <w:jc w:val="center"/>
        <w:rPr>
          <w:sz w:val="36"/>
          <w:szCs w:val="24"/>
          <w:lang w:val="en-US"/>
        </w:rPr>
      </w:pPr>
    </w:p>
    <w:p w14:paraId="2CCCA5D7">
      <w:pPr>
        <w:jc w:val="center"/>
        <w:rPr>
          <w:sz w:val="36"/>
          <w:szCs w:val="24"/>
          <w:lang w:val="en-US"/>
        </w:rPr>
      </w:pPr>
    </w:p>
    <w:p w14:paraId="557D99E2">
      <w:pPr>
        <w:jc w:val="center"/>
        <w:rPr>
          <w:sz w:val="36"/>
          <w:szCs w:val="24"/>
          <w:lang w:val="en-US"/>
        </w:rPr>
      </w:pPr>
    </w:p>
    <w:p w14:paraId="1ABFB97A">
      <w:pPr>
        <w:jc w:val="center"/>
        <w:rPr>
          <w:sz w:val="36"/>
          <w:szCs w:val="24"/>
          <w:lang w:val="en-US"/>
        </w:rPr>
      </w:pPr>
    </w:p>
    <w:p w14:paraId="7E622330">
      <w:pPr>
        <w:jc w:val="center"/>
        <w:rPr>
          <w:sz w:val="36"/>
          <w:szCs w:val="24"/>
          <w:lang w:val="en-US"/>
        </w:rPr>
      </w:pPr>
    </w:p>
    <w:p w14:paraId="00AC8608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502FE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049E3E46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47CD2E2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桃江县种植业技术推广中心</w:t>
            </w:r>
          </w:p>
        </w:tc>
      </w:tr>
    </w:tbl>
    <w:p w14:paraId="368A5C4D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0E64B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633E900C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7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A7175DA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362C7210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56180501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7026987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83E929A">
      <w:pPr>
        <w:jc w:val="center"/>
        <w:rPr>
          <w:u w:val="single"/>
          <w:lang w:val="en-US"/>
        </w:rPr>
      </w:pPr>
    </w:p>
    <w:p w14:paraId="4EC42AE4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115331B8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73E8F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2EDEA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4BE512A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6D3B006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614E027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693DF48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056279D8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036C4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63FFC21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桃江县种植业技术推广中心</w:t>
            </w:r>
          </w:p>
        </w:tc>
      </w:tr>
      <w:tr w14:paraId="4ED3E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E3189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E45EC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1AC640F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6433AFA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农业技术推广、技术开发、示范试验、农业技术服务；承担种植作物生产技术研究攻关、示范与推广，新品种、新技术的引进、培育、开发利用、推广，提供产前、产中、产后技术服务；承担种子、肥料、农药、农膜、药械等农用生产资料技术试验、示范、推广；承担种植业生产技术技能培训；承担农业保险相关技术服务工</w:t>
            </w:r>
          </w:p>
        </w:tc>
      </w:tr>
      <w:tr w14:paraId="49016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AAC41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F0A90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0EC1665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桃江县桃花江镇金盆北路</w:t>
            </w:r>
          </w:p>
        </w:tc>
      </w:tr>
      <w:tr w14:paraId="2DCD4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63C54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063D2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FDB10D0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吴金花</w:t>
            </w:r>
          </w:p>
        </w:tc>
      </w:tr>
      <w:tr w14:paraId="48792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4C727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8F2FE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32AEAAD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20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06009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69813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238D2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F0A0966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55A47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69F76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D3ED1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05747AC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桃江县农业农村局</w:t>
            </w:r>
          </w:p>
        </w:tc>
      </w:tr>
      <w:tr w14:paraId="7475C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C4FF0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3543476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50487C2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B189F3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1DCF1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75617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541588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FDC057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002AE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36814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96D55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20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6B45EAA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20</w:t>
            </w:r>
          </w:p>
        </w:tc>
      </w:tr>
      <w:tr w14:paraId="1C667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3779EC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0C1444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桃江县种植业技术推广中心.公益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2D0D2E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1D111B3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66</w:t>
            </w:r>
          </w:p>
        </w:tc>
      </w:tr>
      <w:tr w14:paraId="487B9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BDBDC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4469F79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00523A2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837529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7314F7E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2BD615F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33F0BC6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333F2918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288D9BC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严格按照条例和细则实施，本年度无变更项目。</w:t>
            </w:r>
          </w:p>
        </w:tc>
      </w:tr>
      <w:tr w14:paraId="3627C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36F050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67F85DB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20F259B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1072C30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42F3283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6DB6B0A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6D53C0E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0B5CEF0D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ED7772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一、粮食生产工作 全年完成集中育秧可插大田面积20.22万亩，完成早稻播种面积23.801万亩，完成中稻及一季晚稻播种面积29.74万亩，完成晚稻播种面积24.88万亩；完成旱杂粮播种面积10万亩，其中完成玉米播种面积5万亩、大豆播种面积1.6万亩、大豆玉米带状复合种植面积1.9万亩。早稻总产9.1万吨，同比去年增产0.34%；全年完成粮食播种面积88.4万亩，总产36.81万吨、同比去年增长2.34%。 二、油菜生产工作 开展稻油水旱轮作和菜籽油大县项目的实施。在全县开展油菜生产示范创建，2023年夏收油菜面积30.73万亩，油菜籽总产3.56万吨，实现油菜产值22088.3万元。 三、蔬菜生产工作 将发展蔬菜产业列为全县民生重点工作之一，纳入农业农村局的一项主要考核工作内容。 （一）产业产值稳中有增 2023年全县蔬菜（含食用菌、竹笋）播种面积30.99万亩，产量75.46万吨，生产值28.08亿元。 （二）推广“五新”技术成果。大力发展设施蔬菜栽培，以“五新”技术成果应用为突破口，抓好新品种、新技术试验、示范和推广工作，促进蔬菜生产转变方式，达到提质增效。 （三）产品品质稳定提高 全县认证无公害蔬菜生产基地6家，共涉及蔬菜产品29个；绿色认证2家，涉及13个产品；竹笋绿色认证7家，涉及21个产品。 四、棉花生产工作 2023年全县新增棉花面积1.56万亩，种植农户240户。创建千亩以上示范片3个，创建百亩示范点15个，其中石牛江镇小坡头村核心示范片面积达3000亩以上。棉花平均亩产79公斤，实现亩增收500元以上。通过恢复棉花生产，引导农民开展种植业结构调整，探索棉花生产技术，破解了严格管控区结构调整难题，带动了当地农民致富。 五、农业保险工作 （一）开展了承保机构遴选工作 开展了公开竞争性遴选政策性农业保险承保机构工作，通过评审，确定了承保机构、险种、规模及区域。 （二）出台了工作实施方案 出台了《桃江县2023年农业保险工作实施方案》等文件。 （三）召开了工作会议 召开了公开竞争性遴选政策性农业保险承保机构工作协调会议、公开竞争性遴选政策性农业保险承保机构工作评审会议、镇农保办主任会议、水稻理赔工作会议。 （四）开展了水稻、玉米、油菜等作物投保理赔工作。 六、开展了新品种试验示范工作 开展新品种试验示范，遴选适合桃江栽培的一季稻镉低积累新品种，为农民朋友选种提供科学依据。 </w:t>
            </w:r>
          </w:p>
          <w:p w14:paraId="4C68862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3291A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30D2D5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C52EA14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0237F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5EFA62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EA84A14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2AFF5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259EA56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3FC4FD2E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F96C60C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4E61026D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28996C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1367</Words>
  <Characters>1497</Characters>
  <Lines>4</Lines>
  <Paragraphs>1</Paragraphs>
  <TotalTime>45455.6875000016</TotalTime>
  <ScaleCrop>false</ScaleCrop>
  <LinksUpToDate>false</LinksUpToDate>
  <CharactersWithSpaces>1555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2024-06-12T09:00:21Z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8FB49C7814034F59B95EBC5FB128072E_13</vt:lpwstr>
  </property>
</Properties>
</file>