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C0DB067">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63894B7B">
      <w:pPr>
        <w:wordWrap w:val="0"/>
        <w:jc w:val="right"/>
        <w:rPr>
          <w:rFonts w:eastAsia="楷体_GB2312"/>
          <w:b/>
          <w:bCs/>
          <w:sz w:val="30"/>
          <w:szCs w:val="24"/>
          <w:lang w:val="en-US"/>
        </w:rPr>
      </w:pPr>
      <w:r>
        <w:rPr>
          <w:rFonts w:eastAsia="楷体_GB2312"/>
          <w:b/>
          <w:bCs/>
          <w:sz w:val="30"/>
          <w:szCs w:val="24"/>
          <w:lang w:val="en-US"/>
        </w:rPr>
        <w:t xml:space="preserve">   </w:t>
      </w:r>
      <w:r>
        <w:rPr>
          <w:rStyle w:val="15"/>
          <w:b/>
          <w:bCs/>
          <w:sz w:val="30"/>
          <w:szCs w:val="30"/>
          <w:lang w:val="en-US"/>
        </w:rPr>
        <w:t>12430922MB1A31684L</w:t>
      </w:r>
      <w:r>
        <w:rPr>
          <w:rFonts w:eastAsia="楷体_GB2312"/>
          <w:b/>
          <w:bCs/>
          <w:sz w:val="30"/>
          <w:szCs w:val="24"/>
          <w:lang w:val="en-US"/>
        </w:rPr>
        <w:t xml:space="preserve">   </w:t>
      </w:r>
    </w:p>
    <w:p w14:paraId="0EB717F1">
      <w:pPr>
        <w:jc w:val="right"/>
        <w:rPr>
          <w:lang w:val="en-US"/>
        </w:rPr>
      </w:pPr>
    </w:p>
    <w:p w14:paraId="39E6051F">
      <w:pPr>
        <w:jc w:val="right"/>
        <w:rPr>
          <w:lang w:val="en-US"/>
        </w:rPr>
      </w:pPr>
    </w:p>
    <w:p w14:paraId="417C6A20">
      <w:pPr>
        <w:jc w:val="right"/>
        <w:rPr>
          <w:lang w:val="en-US"/>
        </w:rPr>
      </w:pPr>
    </w:p>
    <w:p w14:paraId="4846E93C">
      <w:pPr>
        <w:jc w:val="right"/>
        <w:rPr>
          <w:lang w:val="en-US"/>
        </w:rPr>
      </w:pPr>
    </w:p>
    <w:p w14:paraId="5CA72031">
      <w:pPr>
        <w:jc w:val="right"/>
        <w:rPr>
          <w:lang w:val="en-US"/>
        </w:rPr>
      </w:pPr>
    </w:p>
    <w:p w14:paraId="4FD09215">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56C60430">
      <w:pPr>
        <w:jc w:val="center"/>
        <w:rPr>
          <w:rFonts w:eastAsia="黑体"/>
          <w:b/>
          <w:bCs/>
          <w:spacing w:val="30"/>
          <w:lang w:val="en-US"/>
        </w:rPr>
      </w:pPr>
    </w:p>
    <w:p w14:paraId="2D8DAAD2">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5"/>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58168719">
      <w:pPr>
        <w:jc w:val="center"/>
        <w:rPr>
          <w:sz w:val="36"/>
          <w:szCs w:val="24"/>
          <w:lang w:val="en-US"/>
        </w:rPr>
      </w:pPr>
    </w:p>
    <w:p w14:paraId="4C38B401">
      <w:pPr>
        <w:jc w:val="center"/>
        <w:rPr>
          <w:sz w:val="36"/>
          <w:szCs w:val="24"/>
          <w:lang w:val="en-US"/>
        </w:rPr>
      </w:pPr>
    </w:p>
    <w:p w14:paraId="5D9FCB72">
      <w:pPr>
        <w:jc w:val="center"/>
        <w:rPr>
          <w:sz w:val="36"/>
          <w:szCs w:val="24"/>
          <w:lang w:val="en-US"/>
        </w:rPr>
      </w:pPr>
    </w:p>
    <w:p w14:paraId="0F2E92EF">
      <w:pPr>
        <w:jc w:val="center"/>
        <w:rPr>
          <w:sz w:val="36"/>
          <w:szCs w:val="24"/>
          <w:lang w:val="en-US"/>
        </w:rPr>
      </w:pPr>
    </w:p>
    <w:p w14:paraId="3E73143F">
      <w:pPr>
        <w:jc w:val="center"/>
        <w:rPr>
          <w:sz w:val="36"/>
          <w:szCs w:val="24"/>
          <w:lang w:val="en-US"/>
        </w:rPr>
      </w:pPr>
    </w:p>
    <w:p w14:paraId="3DF3692D">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223EE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78514E67">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5041D066">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桃江县自然资源局牛潭河服务中心</w:t>
            </w:r>
          </w:p>
        </w:tc>
      </w:tr>
    </w:tbl>
    <w:p w14:paraId="1E3416EC">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76D8A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31C16F94">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32429439">
            <w:pPr>
              <w:keepNext w:val="0"/>
              <w:keepLines w:val="0"/>
              <w:widowControl/>
              <w:suppressLineNumbers w:val="0"/>
              <w:jc w:val="left"/>
              <w:rPr>
                <w:kern w:val="0"/>
                <w:sz w:val="20"/>
                <w:szCs w:val="20"/>
                <w:bdr w:val="none" w:color="auto" w:sz="0" w:space="0"/>
                <w:lang w:val="en-US"/>
              </w:rPr>
            </w:pPr>
          </w:p>
        </w:tc>
      </w:tr>
    </w:tbl>
    <w:p w14:paraId="53D38FDC">
      <w:pPr>
        <w:ind w:left="0" w:firstLine="723" w:firstLineChars="300"/>
        <w:rPr>
          <w:rFonts w:hint="eastAsia" w:ascii="黑体" w:hAnsi="宋体" w:eastAsia="黑体" w:cs="黑体"/>
          <w:b/>
          <w:bCs/>
          <w:sz w:val="24"/>
          <w:szCs w:val="24"/>
          <w:u w:val="single"/>
          <w:lang w:val="en-US"/>
        </w:rPr>
      </w:pPr>
    </w:p>
    <w:p w14:paraId="63FF4810">
      <w:pPr>
        <w:jc w:val="center"/>
        <w:rPr>
          <w:rFonts w:hint="eastAsia" w:ascii="黑体" w:hAnsi="宋体" w:eastAsia="黑体" w:cs="黑体"/>
          <w:b/>
          <w:bCs/>
          <w:sz w:val="30"/>
          <w:szCs w:val="24"/>
          <w:u w:val="single"/>
          <w:lang w:val="en-US"/>
        </w:rPr>
      </w:pPr>
    </w:p>
    <w:p w14:paraId="7F284F52">
      <w:pPr>
        <w:jc w:val="center"/>
        <w:rPr>
          <w:rFonts w:hint="eastAsia" w:ascii="黑体" w:hAnsi="宋体" w:eastAsia="黑体" w:cs="黑体"/>
          <w:b/>
          <w:bCs/>
          <w:sz w:val="30"/>
          <w:szCs w:val="24"/>
          <w:u w:val="single"/>
          <w:lang w:val="en-US"/>
        </w:rPr>
      </w:pPr>
    </w:p>
    <w:p w14:paraId="1D60586C">
      <w:pPr>
        <w:jc w:val="center"/>
        <w:rPr>
          <w:u w:val="single"/>
          <w:lang w:val="en-US"/>
        </w:rPr>
      </w:pPr>
    </w:p>
    <w:p w14:paraId="53B69246">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59933DF8">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3502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61A52D4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4CDD281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63B9DC3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2B7A890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6F3014E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4AD8968A">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302E7D0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73B70B87">
            <w:pPr>
              <w:spacing w:line="320" w:lineRule="exact"/>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桃江县自然资源局牛潭河服务中心</w:t>
            </w:r>
          </w:p>
        </w:tc>
      </w:tr>
      <w:tr w14:paraId="6957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DCE5D7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4B7FE9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54D06A5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C234212">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配合桃花江经济开发区完成自然资源管理有关工作，完成局下达的有关工作任务。</w:t>
            </w:r>
          </w:p>
        </w:tc>
      </w:tr>
      <w:tr w14:paraId="0344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222590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7E9C1B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3EA4CED">
            <w:pPr>
              <w:jc w:val="left"/>
            </w:pPr>
            <w:r>
              <w:rPr>
                <w:rStyle w:val="14"/>
                <w:rFonts w:hint="eastAsia" w:ascii="楷体_GB2312" w:eastAsia="楷体_GB2312" w:cs="楷体_GB2312"/>
                <w:sz w:val="28"/>
                <w:szCs w:val="28"/>
                <w:bdr w:val="none" w:color="auto" w:sz="0" w:space="0"/>
                <w:lang w:val="en-US"/>
              </w:rPr>
              <w:t>桃江县经济开发区院内</w:t>
            </w:r>
          </w:p>
        </w:tc>
      </w:tr>
      <w:tr w14:paraId="789D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19241F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94E9D8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5B87E79">
            <w:pPr>
              <w:jc w:val="left"/>
            </w:pPr>
            <w:r>
              <w:rPr>
                <w:rStyle w:val="14"/>
                <w:rFonts w:hint="eastAsia" w:ascii="楷体_GB2312" w:eastAsia="楷体_GB2312" w:cs="楷体_GB2312"/>
                <w:sz w:val="28"/>
                <w:szCs w:val="28"/>
                <w:bdr w:val="none" w:color="auto" w:sz="0" w:space="0"/>
                <w:lang w:val="en-US"/>
              </w:rPr>
              <w:t>贺斌</w:t>
            </w:r>
          </w:p>
        </w:tc>
      </w:tr>
      <w:tr w14:paraId="404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614B2F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17AE94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CEBBC2F">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3</w:t>
            </w:r>
            <w:r>
              <w:rPr>
                <w:rStyle w:val="14"/>
                <w:rFonts w:hint="eastAsia" w:ascii="楷体_GB2312" w:eastAsia="楷体_GB2312" w:cs="楷体_GB2312"/>
                <w:sz w:val="28"/>
                <w:szCs w:val="28"/>
                <w:bdr w:val="none" w:color="auto" w:sz="0" w:space="0"/>
              </w:rPr>
              <w:t>（万元）</w:t>
            </w:r>
          </w:p>
        </w:tc>
      </w:tr>
      <w:tr w14:paraId="0610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6D20D9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053DCD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66BCFEDB">
            <w:pPr>
              <w:jc w:val="left"/>
              <w:rPr>
                <w:sz w:val="32"/>
                <w:szCs w:val="32"/>
                <w:bdr w:val="none" w:color="auto" w:sz="0" w:space="0"/>
                <w:lang w:val="en-US"/>
              </w:rPr>
            </w:pPr>
            <w:r>
              <w:rPr>
                <w:rStyle w:val="14"/>
                <w:rFonts w:hint="eastAsia" w:ascii="楷体_GB2312" w:eastAsia="楷体_GB2312" w:cs="楷体_GB2312"/>
                <w:sz w:val="28"/>
                <w:szCs w:val="28"/>
                <w:bdr w:val="none" w:color="auto" w:sz="0" w:space="0"/>
                <w:lang w:val="en-US"/>
              </w:rPr>
              <w:t>财政补助</w:t>
            </w:r>
          </w:p>
        </w:tc>
      </w:tr>
      <w:tr w14:paraId="6F4F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9DF858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ADBB46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25CFA086">
            <w:pPr>
              <w:jc w:val="left"/>
            </w:pPr>
            <w:r>
              <w:rPr>
                <w:rStyle w:val="14"/>
                <w:rFonts w:hint="eastAsia" w:ascii="楷体_GB2312" w:eastAsia="楷体_GB2312" w:cs="楷体_GB2312"/>
                <w:sz w:val="28"/>
                <w:szCs w:val="28"/>
                <w:bdr w:val="none" w:color="auto" w:sz="0" w:space="0"/>
                <w:lang w:val="en-US"/>
              </w:rPr>
              <w:t>桃江县自然资源局</w:t>
            </w:r>
          </w:p>
        </w:tc>
      </w:tr>
      <w:tr w14:paraId="76E6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77765780">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27EBA054">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5F947D03">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0776E48B">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14:paraId="29DE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2B79611F">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E45DE9D">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405A255D">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14:paraId="7D02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C458843">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5DD4DA8">
            <w:pPr>
              <w:jc w:val="center"/>
              <w:rPr>
                <w:sz w:val="32"/>
                <w:szCs w:val="24"/>
                <w:bdr w:val="none" w:color="auto" w:sz="0" w:space="0"/>
                <w:lang w:val="en-US"/>
              </w:rPr>
            </w:pPr>
            <w:r>
              <w:rPr>
                <w:rStyle w:val="19"/>
                <w:sz w:val="32"/>
                <w:szCs w:val="24"/>
                <w:bdr w:val="none" w:color="auto" w:sz="0" w:space="0"/>
                <w:lang w:val="en-US"/>
              </w:rPr>
              <w:t>3</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22EE9A21">
            <w:pPr>
              <w:jc w:val="center"/>
            </w:pPr>
            <w:r>
              <w:rPr>
                <w:rStyle w:val="14"/>
                <w:sz w:val="32"/>
                <w:szCs w:val="32"/>
                <w:bdr w:val="none" w:color="auto" w:sz="0" w:space="0"/>
                <w:lang w:val="en-US"/>
              </w:rPr>
              <w:t>3</w:t>
            </w:r>
          </w:p>
        </w:tc>
      </w:tr>
      <w:tr w14:paraId="446B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6994578">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3025FD6">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桃江县自然资源局牛潭河服务中心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2EC0DCA6">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1BC4F268">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4</w:t>
            </w:r>
          </w:p>
        </w:tc>
      </w:tr>
      <w:tr w14:paraId="4886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59FAF9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3F43035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085CF5B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48724A4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7B4E40D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5BF74AC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2A36120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5AFFC4C5">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46D80592">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2023年法人由丁亚辉变更为贺斌</w:t>
            </w:r>
          </w:p>
        </w:tc>
      </w:tr>
      <w:tr w14:paraId="2B24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77CCCC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51E6F0C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2BCA3B6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5FE681A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782BBC6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229A35D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50B8349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1090AB7B">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1DBFFDAD">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4"/>
                <w:rFonts w:hint="eastAsia" w:ascii="楷体_GB2312" w:eastAsia="楷体_GB2312" w:cs="楷体_GB2312"/>
                <w:sz w:val="28"/>
                <w:szCs w:val="24"/>
                <w:bdr w:val="none" w:color="auto" w:sz="0" w:space="0"/>
                <w:lang w:val="en-US"/>
              </w:rPr>
              <w:t xml:space="preserve">2023年月清“三地”处置工作 a、根据《全省省级及以上产业园区闲置国有资产清查处置指导意见》（湘发改园区〔2022〕327号）和《2023年度湖南省产业园区闲置土地、批而未供土地、低效用地、国有闲置厂房盘活处置工作方案》的要求，制订并出台了《桃江经济开发区2023年批而未供、低效土地、闲置国有标准化厂房“一园一策”处置方案》，年度内拟处置批而未供土地51.15亩，低效闲置土地262.8亩，截至12月份，“三地”清理处置任务已全部完成。 b、新增批而未供地块（2021政国土字224号原金易物流二期），未供面积142亩，建议方案一：完成征拆后申请公开处置，由金易物流公司和新兴管件公司各受让一部分；二是申请撤销该批准文书，报批费用和用地指标置换用于储煤基地二期土地报批。 c、批而未供处置不实，2022年6月处置的二宗批而未供土地282亩，武汉督察局定性为批而未供处置不实（审核意见为举证材料不能证明实际建设项目）。已按一般性问题完成动工建设举证工作。 调区和土地集约利用监测统计工作 为实现2023年园区“五好”园区创建土地集约节约评价得分在8分以上目标（2022年全省平均分5.76分，我区得分6.14分）。6月份，夏薇主任带队向省自然资源厅土地利用处汇报我区土地集约节约工作。调区工作已完成报告制定，并经报县政府常务会议和县规划例会讨论通过，目前正组织资料报请市人民政府行文向省人民政府提出调区；土地集约利用监测统计报告已经编制完成，正在省自然资源厅进行评审，预计各项指标都能达到上级要求。 土地报批及供地工作 a、完成了马迹塘竹笋产业园项目110亩用地和鑫政二期项目用地124亩的报批； b、完成了建新路以西、广进一路以北142.46亩地块报批规划图纸设计、地籍测绘、地类套合等前期工作； c、完成了标厂七期牛潭河安置地块报批前期工作。 d、完成了马迹塘笋竹产业园项目103亩土地挂牌出让工作。 e、完成了口味王五期项目2.14亩土地挂牌出让工作。 f、完成了桃盛路北侧地块49.9亩土地的挂牌出让工作。 </w:t>
            </w:r>
          </w:p>
          <w:p w14:paraId="2F130113">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4A9D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247E693D">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4A9D1FB7">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4"/>
                <w:bdr w:val="none" w:color="auto" w:sz="0" w:space="0"/>
                <w:lang w:val="en-US"/>
              </w:rPr>
              <w:t>统一社会信用代码12430922MB1A31684L 有效期：2020年8月12日至2025年8月12日</w:t>
            </w:r>
          </w:p>
        </w:tc>
      </w:tr>
      <w:tr w14:paraId="2663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4E159A4">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7252B0FE">
            <w:pPr>
              <w:jc w:val="left"/>
            </w:pPr>
            <w:r>
              <w:rPr>
                <w:rStyle w:val="14"/>
                <w:rFonts w:hint="eastAsia" w:ascii="楷体_GB2312" w:eastAsia="楷体_GB2312" w:cs="楷体_GB2312"/>
                <w:sz w:val="28"/>
                <w:szCs w:val="28"/>
                <w:bdr w:val="none" w:color="auto" w:sz="0" w:space="0"/>
                <w:lang w:val="en-US"/>
              </w:rPr>
              <w:t>无</w:t>
            </w:r>
          </w:p>
        </w:tc>
      </w:tr>
      <w:tr w14:paraId="314D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D549611">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1EEE185A">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33AB0919">
            <w:pPr>
              <w:jc w:val="left"/>
            </w:pPr>
            <w:r>
              <w:rPr>
                <w:rStyle w:val="14"/>
                <w:rFonts w:hint="eastAsia" w:ascii="楷体_GB2312" w:eastAsia="楷体_GB2312" w:cs="楷体_GB2312"/>
                <w:sz w:val="28"/>
                <w:szCs w:val="28"/>
                <w:bdr w:val="none" w:color="auto" w:sz="0" w:space="0"/>
                <w:lang w:val="en-US"/>
              </w:rPr>
              <w:t>无</w:t>
            </w:r>
          </w:p>
        </w:tc>
      </w:tr>
    </w:tbl>
    <w:p w14:paraId="632521F2">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1FA822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71"/>
    <w:basedOn w:val="13"/>
    <w:uiPriority w:val="0"/>
    <w:rPr>
      <w:rFonts w:hint="default" w:ascii="Times New Roman" w:hAnsi="Times New Roman" w:eastAsia="楷体_GB2312" w:cs="Times New Roman"/>
      <w:sz w:val="28"/>
      <w:szCs w:val="24"/>
    </w:rPr>
  </w:style>
  <w:style w:type="character" w:customStyle="1" w:styleId="15">
    <w:name w:val="font21"/>
    <w:basedOn w:val="13"/>
    <w:uiPriority w:val="0"/>
    <w:rPr>
      <w:rFonts w:hint="default" w:ascii="Times New Roman" w:hAnsi="Times New Roman" w:eastAsia="楷体_GB2312" w:cs="Times New Roman"/>
      <w:sz w:val="30"/>
      <w:szCs w:val="24"/>
    </w:rPr>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1166</Words>
  <Characters>1293</Characters>
  <Lines>4</Lines>
  <Paragraphs>1</Paragraphs>
  <TotalTime>45455.7187500016</TotalTime>
  <ScaleCrop>false</ScaleCrop>
  <LinksUpToDate>false</LinksUpToDate>
  <CharactersWithSpaces>1342</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2024-06-12T09:18:59Z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78F5A8114C0E435C9285863A2C63A538_13</vt:lpwstr>
  </property>
</Properties>
</file>