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628B9C">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69FF4CD5">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124309227991466594</w:t>
      </w:r>
      <w:r>
        <w:rPr>
          <w:rFonts w:eastAsia="楷体_GB2312"/>
          <w:b/>
          <w:bCs/>
          <w:sz w:val="30"/>
          <w:szCs w:val="24"/>
          <w:lang w:val="en-US"/>
        </w:rPr>
        <w:t xml:space="preserve">   </w:t>
      </w:r>
    </w:p>
    <w:p w14:paraId="5A0F7BD6">
      <w:pPr>
        <w:jc w:val="right"/>
        <w:rPr>
          <w:lang w:val="en-US"/>
        </w:rPr>
      </w:pPr>
    </w:p>
    <w:p w14:paraId="0B9A3AC1">
      <w:pPr>
        <w:jc w:val="right"/>
        <w:rPr>
          <w:lang w:val="en-US"/>
        </w:rPr>
      </w:pPr>
    </w:p>
    <w:p w14:paraId="517E0640">
      <w:pPr>
        <w:jc w:val="right"/>
        <w:rPr>
          <w:lang w:val="en-US"/>
        </w:rPr>
      </w:pPr>
    </w:p>
    <w:p w14:paraId="66028A39">
      <w:pPr>
        <w:jc w:val="right"/>
        <w:rPr>
          <w:lang w:val="en-US"/>
        </w:rPr>
      </w:pPr>
    </w:p>
    <w:p w14:paraId="63E276D1">
      <w:pPr>
        <w:jc w:val="right"/>
        <w:rPr>
          <w:lang w:val="en-US"/>
        </w:rPr>
      </w:pPr>
    </w:p>
    <w:p w14:paraId="394AE656">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364F639D">
      <w:pPr>
        <w:jc w:val="center"/>
        <w:rPr>
          <w:rFonts w:eastAsia="黑体"/>
          <w:b/>
          <w:bCs/>
          <w:spacing w:val="30"/>
          <w:lang w:val="en-US"/>
        </w:rPr>
      </w:pPr>
    </w:p>
    <w:p w14:paraId="442888D9">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7154BBCE">
      <w:pPr>
        <w:jc w:val="center"/>
        <w:rPr>
          <w:sz w:val="36"/>
          <w:szCs w:val="24"/>
          <w:lang w:val="en-US"/>
        </w:rPr>
      </w:pPr>
    </w:p>
    <w:p w14:paraId="73D471FE">
      <w:pPr>
        <w:jc w:val="center"/>
        <w:rPr>
          <w:sz w:val="36"/>
          <w:szCs w:val="24"/>
          <w:lang w:val="en-US"/>
        </w:rPr>
      </w:pPr>
    </w:p>
    <w:p w14:paraId="5EA3012B">
      <w:pPr>
        <w:jc w:val="center"/>
        <w:rPr>
          <w:sz w:val="36"/>
          <w:szCs w:val="24"/>
          <w:lang w:val="en-US"/>
        </w:rPr>
      </w:pPr>
    </w:p>
    <w:p w14:paraId="56CE76DE">
      <w:pPr>
        <w:jc w:val="center"/>
        <w:rPr>
          <w:sz w:val="36"/>
          <w:szCs w:val="24"/>
          <w:lang w:val="en-US"/>
        </w:rPr>
      </w:pPr>
    </w:p>
    <w:p w14:paraId="11BD1D94">
      <w:pPr>
        <w:jc w:val="center"/>
        <w:rPr>
          <w:sz w:val="36"/>
          <w:szCs w:val="24"/>
          <w:lang w:val="en-US"/>
        </w:rPr>
      </w:pPr>
    </w:p>
    <w:p w14:paraId="77E3DCB0">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230F3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0AEB7F09">
            <w:pPr>
              <w:jc w:val="distribute"/>
            </w:pPr>
            <w:r>
              <w:rPr>
                <w:rStyle w:val="14"/>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2CF1EA2A">
            <w:pPr>
              <w:jc w:val="center"/>
              <w:rPr>
                <w:rFonts w:hint="eastAsia" w:ascii="楷体_GB2312" w:eastAsia="楷体_GB2312" w:cs="楷体_GB2312"/>
                <w:sz w:val="32"/>
                <w:szCs w:val="24"/>
                <w:bdr w:val="none" w:color="auto" w:sz="0" w:space="0"/>
                <w:lang w:val="en-US"/>
              </w:rPr>
            </w:pPr>
            <w:r>
              <w:rPr>
                <w:rStyle w:val="15"/>
                <w:rFonts w:hint="eastAsia" w:ascii="楷体_GB2312" w:eastAsia="楷体_GB2312" w:cs="楷体_GB2312"/>
                <w:sz w:val="32"/>
                <w:szCs w:val="24"/>
                <w:bdr w:val="none" w:color="auto" w:sz="0" w:space="0"/>
                <w:lang w:val="en-US"/>
              </w:rPr>
              <w:t>桃江县自然资源行政执法大队</w:t>
            </w:r>
          </w:p>
        </w:tc>
      </w:tr>
    </w:tbl>
    <w:p w14:paraId="29E3F9F8">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3B97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3944EF10">
            <w:pPr>
              <w:jc w:val="distribute"/>
            </w:pPr>
            <w:r>
              <w:rPr>
                <w:rStyle w:val="14"/>
                <w:b/>
                <w:bCs/>
                <w:sz w:val="36"/>
                <w:szCs w:val="24"/>
                <w:bdr w:val="none" w:color="auto" w:sz="0" w:space="0"/>
              </w:rPr>
              <w:t>法</w:t>
            </w:r>
            <w:r>
              <w:rPr>
                <w:rStyle w:val="14"/>
                <w:b/>
                <w:bCs/>
                <w:spacing w:val="30"/>
                <w:sz w:val="36"/>
                <w:szCs w:val="24"/>
                <w:bdr w:val="none" w:color="auto" w:sz="0" w:space="0"/>
              </w:rPr>
              <w:t>定代表</w:t>
            </w:r>
            <w:r>
              <w:rPr>
                <w:rStyle w:val="14"/>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2D1823D5">
            <w:pPr>
              <w:keepNext w:val="0"/>
              <w:keepLines w:val="0"/>
              <w:widowControl/>
              <w:suppressLineNumbers w:val="0"/>
              <w:jc w:val="left"/>
              <w:rPr>
                <w:kern w:val="0"/>
                <w:sz w:val="20"/>
                <w:szCs w:val="20"/>
                <w:bdr w:val="none" w:color="auto" w:sz="0" w:space="0"/>
                <w:lang w:val="en-US"/>
              </w:rPr>
            </w:pPr>
          </w:p>
        </w:tc>
      </w:tr>
    </w:tbl>
    <w:p w14:paraId="4F1E2EE5">
      <w:pPr>
        <w:ind w:left="0" w:firstLine="723" w:firstLineChars="300"/>
        <w:rPr>
          <w:rFonts w:hint="eastAsia" w:ascii="黑体" w:hAnsi="宋体" w:eastAsia="黑体" w:cs="黑体"/>
          <w:b/>
          <w:bCs/>
          <w:sz w:val="24"/>
          <w:szCs w:val="24"/>
          <w:u w:val="single"/>
          <w:lang w:val="en-US"/>
        </w:rPr>
      </w:pPr>
    </w:p>
    <w:p w14:paraId="1EC9C698">
      <w:pPr>
        <w:jc w:val="center"/>
        <w:rPr>
          <w:rFonts w:hint="eastAsia" w:ascii="黑体" w:hAnsi="宋体" w:eastAsia="黑体" w:cs="黑体"/>
          <w:b/>
          <w:bCs/>
          <w:sz w:val="30"/>
          <w:szCs w:val="24"/>
          <w:u w:val="single"/>
          <w:lang w:val="en-US"/>
        </w:rPr>
      </w:pPr>
    </w:p>
    <w:p w14:paraId="76946F84">
      <w:pPr>
        <w:jc w:val="center"/>
        <w:rPr>
          <w:rFonts w:hint="eastAsia" w:ascii="黑体" w:hAnsi="宋体" w:eastAsia="黑体" w:cs="黑体"/>
          <w:b/>
          <w:bCs/>
          <w:sz w:val="30"/>
          <w:szCs w:val="24"/>
          <w:u w:val="single"/>
          <w:lang w:val="en-US"/>
        </w:rPr>
      </w:pPr>
    </w:p>
    <w:p w14:paraId="06ED32A1">
      <w:pPr>
        <w:jc w:val="center"/>
        <w:rPr>
          <w:u w:val="single"/>
          <w:lang w:val="en-US"/>
        </w:rPr>
      </w:pPr>
    </w:p>
    <w:p w14:paraId="365430A6">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3391265D">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7C12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6A8EC11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77E207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778B9DD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6DC2713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03CF7E8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78B65110">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70902F6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61F45DF4">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桃江县自然资源行政执法大队</w:t>
            </w:r>
          </w:p>
        </w:tc>
      </w:tr>
      <w:tr w14:paraId="2D2D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5311B9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4BB4C4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4BDB0FF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D432C82">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负责全县自然资源执法业务指导、组织协调和考核评价；负责制定执法标准规范，开展执法稽查和培训；负责跨部门联合执法行动的组织协调；负责法律法规直接赋予县级的执法事项；负责县管区域执法事项；负责全县违法案件、上级主管部门和县政府交办案件的查处。</w:t>
            </w:r>
          </w:p>
        </w:tc>
      </w:tr>
      <w:tr w14:paraId="4FF0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83FF7D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673432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3162168">
            <w:pPr>
              <w:jc w:val="left"/>
            </w:pPr>
            <w:r>
              <w:rPr>
                <w:rStyle w:val="19"/>
                <w:rFonts w:hint="eastAsia" w:ascii="楷体_GB2312" w:eastAsia="楷体_GB2312" w:cs="楷体_GB2312"/>
                <w:sz w:val="28"/>
                <w:szCs w:val="28"/>
                <w:bdr w:val="none" w:color="auto" w:sz="0" w:space="0"/>
                <w:lang w:val="en-US"/>
              </w:rPr>
              <w:t>桃江县桃花江大道100号</w:t>
            </w:r>
          </w:p>
        </w:tc>
      </w:tr>
      <w:tr w14:paraId="53AE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EAB178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3D87D3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CC725DE">
            <w:pPr>
              <w:jc w:val="left"/>
            </w:pPr>
            <w:r>
              <w:rPr>
                <w:rStyle w:val="19"/>
                <w:rFonts w:hint="eastAsia" w:ascii="楷体_GB2312" w:eastAsia="楷体_GB2312" w:cs="楷体_GB2312"/>
                <w:sz w:val="28"/>
                <w:szCs w:val="28"/>
                <w:bdr w:val="none" w:color="auto" w:sz="0" w:space="0"/>
                <w:lang w:val="en-US"/>
              </w:rPr>
              <w:t>胡亚平</w:t>
            </w:r>
          </w:p>
        </w:tc>
      </w:tr>
      <w:tr w14:paraId="493E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D7D4B1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9A092C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4F085E4">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22.8</w:t>
            </w:r>
            <w:r>
              <w:rPr>
                <w:rStyle w:val="19"/>
                <w:rFonts w:hint="eastAsia" w:ascii="楷体_GB2312" w:eastAsia="楷体_GB2312" w:cs="楷体_GB2312"/>
                <w:sz w:val="28"/>
                <w:szCs w:val="28"/>
                <w:bdr w:val="none" w:color="auto" w:sz="0" w:space="0"/>
              </w:rPr>
              <w:t>（万元）</w:t>
            </w:r>
          </w:p>
        </w:tc>
      </w:tr>
      <w:tr w14:paraId="4E0C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F85DF0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489591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DEE28C0">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财政补助（全额拨款）</w:t>
            </w:r>
          </w:p>
        </w:tc>
      </w:tr>
      <w:tr w14:paraId="1E8A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C517B0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5546E1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D8FC6AA">
            <w:pPr>
              <w:jc w:val="left"/>
            </w:pPr>
            <w:r>
              <w:rPr>
                <w:rStyle w:val="19"/>
                <w:rFonts w:hint="eastAsia" w:ascii="楷体_GB2312" w:eastAsia="楷体_GB2312" w:cs="楷体_GB2312"/>
                <w:sz w:val="28"/>
                <w:szCs w:val="28"/>
                <w:bdr w:val="none" w:color="auto" w:sz="0" w:space="0"/>
                <w:lang w:val="en-US"/>
              </w:rPr>
              <w:t>桃江县自然资源局</w:t>
            </w:r>
          </w:p>
        </w:tc>
      </w:tr>
      <w:tr w14:paraId="3820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24178A92">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16A49E13">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7BBEE853">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20F6F02F">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净资产合计（所有者权益合计）</w:t>
            </w:r>
          </w:p>
        </w:tc>
      </w:tr>
      <w:tr w14:paraId="446B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59EA994">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4406F2E">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6696102D">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年末数（万元）</w:t>
            </w:r>
          </w:p>
        </w:tc>
      </w:tr>
      <w:tr w14:paraId="6F00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73CC6F4">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74A1B3A">
            <w:pPr>
              <w:jc w:val="center"/>
              <w:rPr>
                <w:sz w:val="32"/>
                <w:szCs w:val="24"/>
                <w:bdr w:val="none" w:color="auto" w:sz="0" w:space="0"/>
                <w:lang w:val="en-US"/>
              </w:rPr>
            </w:pPr>
            <w:r>
              <w:rPr>
                <w:rStyle w:val="15"/>
                <w:sz w:val="32"/>
                <w:szCs w:val="24"/>
                <w:bdr w:val="none" w:color="auto" w:sz="0" w:space="0"/>
                <w:lang w:val="en-US"/>
              </w:rPr>
              <w:t>22.8</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7DE54B25">
            <w:pPr>
              <w:jc w:val="center"/>
            </w:pPr>
            <w:r>
              <w:rPr>
                <w:rStyle w:val="19"/>
                <w:sz w:val="32"/>
                <w:szCs w:val="32"/>
                <w:bdr w:val="none" w:color="auto" w:sz="0" w:space="0"/>
                <w:lang w:val="en-US"/>
              </w:rPr>
              <w:t>22.8</w:t>
            </w:r>
          </w:p>
        </w:tc>
      </w:tr>
      <w:tr w14:paraId="044B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105987B">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D8C5033">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桃江县自然资源行政执法大队.公益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15BF71EB">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3629A86C">
            <w:pPr>
              <w:spacing w:line="0" w:lineRule="atLeast"/>
              <w:jc w:val="left"/>
              <w:rPr>
                <w:rFonts w:hint="eastAsia" w:ascii="楷体_GB2312" w:eastAsia="楷体_GB2312" w:cs="楷体_GB2312"/>
                <w:sz w:val="32"/>
                <w:szCs w:val="24"/>
                <w:bdr w:val="none" w:color="auto" w:sz="0" w:space="0"/>
                <w:lang w:val="en-US"/>
              </w:rPr>
            </w:pPr>
            <w:r>
              <w:rPr>
                <w:rStyle w:val="15"/>
                <w:sz w:val="32"/>
                <w:szCs w:val="24"/>
                <w:bdr w:val="none" w:color="auto" w:sz="0" w:space="0"/>
                <w:lang w:val="en-US"/>
              </w:rPr>
              <w:t>20</w:t>
            </w:r>
          </w:p>
        </w:tc>
      </w:tr>
      <w:tr w14:paraId="1E4E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79DDE0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50FB9F7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3793FEE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687E787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45BD508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017DF73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736D678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0303B372">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A37573E">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无</w:t>
            </w:r>
          </w:p>
        </w:tc>
      </w:tr>
      <w:tr w14:paraId="10B8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527E26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4391B11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2A37DBB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244A733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16889B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2E6499B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117DFEF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6B0B3BCC">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7A56061">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开展业务活动的项目和取得的成绩A、2023年我县非住宅类房屋信息补偿摸排图斑共34684个，通过我队与技术单位的共同努力，现已完成全部摸排工作，并全部录入农村乱占耕地建房数据汇交平台，2023年11月我队会同技术单位再次对其中1683个非住宅类图斑系统填报情况进行了核实，目前我县非住宅类房屋信息补偿摸排工作外业核查、系统填报、再次核实工作已通过市局审核，待省厅进行审核，2023年非住宅类房屋信息补偿摸排第一阶段工作已圆满完成。 B、2023年我县新增违法用地占用耕地总面积未超过全省违法占用耕地总面积的比例，年底前整改到位率高于全省平均值，省厅未对该项工作扣分，顺利通过省厅考核；2021年-2022年月清三地违法占用耕地面积整改率93.82%，整改率高于全省平均值，现已通过省厅考核；2021年-2022年部卫片违法占用耕地面积整改率86.32%，整改率高于全省平均值，现已通过省厅考核；2023年省厅下发我县重点图斑、遥感监测图斑共计20宗，监测面积497.66亩，其中基本农田面积265.08亩；2023年9月份下发的图斑涉及马迹塘镇两宗青蛙养殖场非粮化问题、12月份下发的图斑涉及三堂街1宗、石牛江镇4宗青蛙养殖场非粮化问题，涉及面积共计213.84亩，目前当事人和当地乡镇人民政府均已承诺于2024年4月份前落实一季水稻种植，系统已按实地伪变化上报，市省两级均已审核通过。 C、2023年部下发我县卫片遥感监测图斑984个，监测面积6597.11亩，其中耕地面积1316.01亩，基本农田面积258.59亩，2023年12月份卫片目前正在核实填报中，时间节点为2024年2月10日前填报完毕。 D、国家历年督察反馈未整改到位问题7个，已整改7个（含持续整改3个，为益马高速公路），整改率100%。2021年国家耕地保护例行督察反馈问题38个，已整改38个，整改率100%。2021年省级例行督察任务143宗，已整改143宗（含持续整改20宗），整改率100%。 2022年省级例行督察任务62宗，已整改62宗（含阶段性整改35宗），整改率100%。 E、2023年度月清“三地两矿”任务涉及违法用地49宗，已整改43宗（含持续整改13宗），余下6宗按省厅部署正在查处整改。 F、2023年“百日攻坚”专项行动下达任务图斑740宗，涉及全县15个乡镇和县直部门，截止2023年12月31日已完成整改718宗，整改率97.02%，居全市第二。 G、2023年真抓实干专项工作任务，涉及2021年-2023年国家和省级督察任务及部省下达的违法图斑共计598宗，截止目前已完成整改549宗（含阶段整改到位），整改率91.8%，在省厅真抓实干考核中排名全省第四。 H、2023年下发我县农村乱占耕地建房问题图斑22宗，已整改20宗，剩余2宗已纳入持续整改。 I、2023年坑塘水面整改图斑40宗，已整改销号35宗， 其余5宗已纳入持续整改范畴。 J、2023年部系统下发我县非法占用农用地涉嫌犯罪问题线索排查图斑9个，通过逐一排查，均不涉及涉嫌犯罪问题，并出具了情况说明，现已通过部系统进行了举证。 K、2023年共立案查处自然资源违法案件28宗，其中土地违法案件15宗，矿产违法案件13宗，共计收缴罚没款421.2866万元。土地违法案件整改恢复到位2宗，移送公安机关立案追诉1宗，向县纪委移送问题线索7条，收缴罚没款395.6434万元，在省市办理违法案件查处证明19宗（2023年13宗，往年6宗）。矿产违法案件移送公安机关立案追诉2宗，收缴罚没款25.6432万元。指导乡镇综合行政执法队伍查处自然资源违法案件60余次，下发线索移送函、督办含7次；通过两法衔接平台录入案件2宗。 桃江县自然资源行政执法大队 2024年1月22日 </w:t>
            </w:r>
          </w:p>
          <w:p w14:paraId="56C11360">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7F83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16EA7AD">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CA2A74E">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4E13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6470324">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48A36FA3">
            <w:pPr>
              <w:jc w:val="left"/>
            </w:pPr>
            <w:r>
              <w:rPr>
                <w:rStyle w:val="19"/>
                <w:rFonts w:hint="eastAsia" w:ascii="楷体_GB2312" w:eastAsia="楷体_GB2312" w:cs="楷体_GB2312"/>
                <w:sz w:val="28"/>
                <w:szCs w:val="28"/>
                <w:bdr w:val="none" w:color="auto" w:sz="0" w:space="0"/>
                <w:lang w:val="en-US"/>
              </w:rPr>
              <w:t>无</w:t>
            </w:r>
          </w:p>
        </w:tc>
      </w:tr>
      <w:tr w14:paraId="1544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D12E1C5">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1DE84177">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5C8FA81">
            <w:pPr>
              <w:jc w:val="left"/>
            </w:pPr>
            <w:r>
              <w:rPr>
                <w:rStyle w:val="19"/>
                <w:rFonts w:hint="eastAsia" w:ascii="楷体_GB2312" w:eastAsia="楷体_GB2312" w:cs="楷体_GB2312"/>
                <w:sz w:val="28"/>
                <w:szCs w:val="28"/>
                <w:bdr w:val="none" w:color="auto" w:sz="0" w:space="0"/>
                <w:lang w:val="en-US"/>
              </w:rPr>
              <w:t>无</w:t>
            </w:r>
          </w:p>
        </w:tc>
      </w:tr>
    </w:tbl>
    <w:p w14:paraId="3EF95808">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0A2874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51"/>
    <w:basedOn w:val="13"/>
    <w:uiPriority w:val="0"/>
    <w:rPr>
      <w:rFonts w:hint="eastAsia" w:ascii="黑体" w:hAnsi="宋体" w:eastAsia="黑体" w:cs="黑体"/>
      <w:sz w:val="36"/>
      <w:szCs w:val="24"/>
    </w:rPr>
  </w:style>
  <w:style w:type="character" w:customStyle="1" w:styleId="15">
    <w:name w:val="font61"/>
    <w:basedOn w:val="13"/>
    <w:uiPriority w:val="0"/>
    <w:rPr>
      <w:rFonts w:hint="default" w:ascii="Times New Roman" w:hAnsi="Times New Roman" w:eastAsia="楷体_GB2312" w:cs="Times New Roman"/>
      <w:sz w:val="32"/>
      <w:szCs w:val="24"/>
    </w:rPr>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1768</Words>
  <Characters>2037</Characters>
  <Lines>4</Lines>
  <Paragraphs>1</Paragraphs>
  <TotalTime>45456.6562500016</TotalTime>
  <ScaleCrop>false</ScaleCrop>
  <LinksUpToDate>false</LinksUpToDate>
  <CharactersWithSpaces>2087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2024-06-13T08:11:50Z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9C3E1CC093784A63964B4631AE4AA9AD_13</vt:lpwstr>
  </property>
</Properties>
</file>