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12C698">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47B37F3">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12430922675591996L</w:t>
      </w:r>
      <w:r>
        <w:rPr>
          <w:rFonts w:eastAsia="楷体_GB2312"/>
          <w:b/>
          <w:bCs/>
          <w:sz w:val="30"/>
          <w:szCs w:val="24"/>
          <w:lang w:val="en-US"/>
        </w:rPr>
        <w:t xml:space="preserve">   </w:t>
      </w:r>
    </w:p>
    <w:p w14:paraId="6FA4D706">
      <w:pPr>
        <w:jc w:val="right"/>
        <w:rPr>
          <w:lang w:val="en-US"/>
        </w:rPr>
      </w:pPr>
    </w:p>
    <w:p w14:paraId="5D0FA5F8">
      <w:pPr>
        <w:jc w:val="right"/>
        <w:rPr>
          <w:lang w:val="en-US"/>
        </w:rPr>
      </w:pPr>
    </w:p>
    <w:p w14:paraId="30A0697D">
      <w:pPr>
        <w:jc w:val="right"/>
        <w:rPr>
          <w:lang w:val="en-US"/>
        </w:rPr>
      </w:pPr>
    </w:p>
    <w:p w14:paraId="528EE28F">
      <w:pPr>
        <w:jc w:val="right"/>
        <w:rPr>
          <w:lang w:val="en-US"/>
        </w:rPr>
      </w:pPr>
    </w:p>
    <w:p w14:paraId="2C578808">
      <w:pPr>
        <w:jc w:val="right"/>
        <w:rPr>
          <w:lang w:val="en-US"/>
        </w:rPr>
      </w:pPr>
    </w:p>
    <w:p w14:paraId="43DA7011">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C429717">
      <w:pPr>
        <w:jc w:val="center"/>
        <w:rPr>
          <w:rFonts w:eastAsia="黑体"/>
          <w:b/>
          <w:bCs/>
          <w:spacing w:val="30"/>
          <w:lang w:val="en-US"/>
        </w:rPr>
      </w:pPr>
    </w:p>
    <w:p w14:paraId="16AD9E2D">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00FCD3B">
      <w:pPr>
        <w:jc w:val="center"/>
        <w:rPr>
          <w:sz w:val="36"/>
          <w:szCs w:val="24"/>
          <w:lang w:val="en-US"/>
        </w:rPr>
      </w:pPr>
    </w:p>
    <w:p w14:paraId="5DC0C4A6">
      <w:pPr>
        <w:jc w:val="center"/>
        <w:rPr>
          <w:sz w:val="36"/>
          <w:szCs w:val="24"/>
          <w:lang w:val="en-US"/>
        </w:rPr>
      </w:pPr>
    </w:p>
    <w:p w14:paraId="59E03C6A">
      <w:pPr>
        <w:jc w:val="center"/>
        <w:rPr>
          <w:sz w:val="36"/>
          <w:szCs w:val="24"/>
          <w:lang w:val="en-US"/>
        </w:rPr>
      </w:pPr>
    </w:p>
    <w:p w14:paraId="4844A1FC">
      <w:pPr>
        <w:jc w:val="center"/>
        <w:rPr>
          <w:sz w:val="36"/>
          <w:szCs w:val="24"/>
          <w:lang w:val="en-US"/>
        </w:rPr>
      </w:pPr>
    </w:p>
    <w:p w14:paraId="287D8758">
      <w:pPr>
        <w:jc w:val="center"/>
        <w:rPr>
          <w:sz w:val="36"/>
          <w:szCs w:val="24"/>
          <w:lang w:val="en-US"/>
        </w:rPr>
      </w:pPr>
    </w:p>
    <w:p w14:paraId="798A2E7E">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ABF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3081077">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5F93E4CF">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桃江县自然资源信息中心</w:t>
            </w:r>
          </w:p>
        </w:tc>
      </w:tr>
    </w:tbl>
    <w:p w14:paraId="1AA3E8F0">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C48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7682CE05">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A8A2FE4">
            <w:pPr>
              <w:keepNext w:val="0"/>
              <w:keepLines w:val="0"/>
              <w:widowControl/>
              <w:suppressLineNumbers w:val="0"/>
              <w:jc w:val="left"/>
              <w:rPr>
                <w:kern w:val="0"/>
                <w:sz w:val="20"/>
                <w:szCs w:val="20"/>
                <w:bdr w:val="none" w:color="auto" w:sz="0" w:space="0"/>
                <w:lang w:val="en-US"/>
              </w:rPr>
            </w:pPr>
          </w:p>
        </w:tc>
      </w:tr>
    </w:tbl>
    <w:p w14:paraId="570570DA">
      <w:pPr>
        <w:ind w:left="0" w:firstLine="723" w:firstLineChars="300"/>
        <w:rPr>
          <w:rFonts w:hint="eastAsia" w:ascii="黑体" w:hAnsi="宋体" w:eastAsia="黑体" w:cs="黑体"/>
          <w:b/>
          <w:bCs/>
          <w:sz w:val="24"/>
          <w:szCs w:val="24"/>
          <w:u w:val="single"/>
          <w:lang w:val="en-US"/>
        </w:rPr>
      </w:pPr>
    </w:p>
    <w:p w14:paraId="78BD042E">
      <w:pPr>
        <w:jc w:val="center"/>
        <w:rPr>
          <w:rFonts w:hint="eastAsia" w:ascii="黑体" w:hAnsi="宋体" w:eastAsia="黑体" w:cs="黑体"/>
          <w:b/>
          <w:bCs/>
          <w:sz w:val="30"/>
          <w:szCs w:val="24"/>
          <w:u w:val="single"/>
          <w:lang w:val="en-US"/>
        </w:rPr>
      </w:pPr>
    </w:p>
    <w:p w14:paraId="582918E4">
      <w:pPr>
        <w:jc w:val="center"/>
        <w:rPr>
          <w:rFonts w:hint="eastAsia" w:ascii="黑体" w:hAnsi="宋体" w:eastAsia="黑体" w:cs="黑体"/>
          <w:b/>
          <w:bCs/>
          <w:sz w:val="30"/>
          <w:szCs w:val="24"/>
          <w:u w:val="single"/>
          <w:lang w:val="en-US"/>
        </w:rPr>
      </w:pPr>
    </w:p>
    <w:p w14:paraId="64310C7F">
      <w:pPr>
        <w:jc w:val="center"/>
        <w:rPr>
          <w:u w:val="single"/>
          <w:lang w:val="en-US"/>
        </w:rPr>
      </w:pPr>
    </w:p>
    <w:p w14:paraId="54DBADA9">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267C68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6B29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E08BB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22C6B3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911DB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5F65637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FBE6A2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74B923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461DF2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052BB69">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桃江县自然资源信息中心</w:t>
            </w:r>
          </w:p>
        </w:tc>
      </w:tr>
      <w:tr w14:paraId="1082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48A669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152D5A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76953D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BDC2E55">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负责全县土地、矿产、林权等自然资源相关数据库和业务系统的建设、管理、更新及应用；负责县自然资源局电子办公设备、网络工程、信息平台的管理维护；负责收集、存储和发布土地、矿产、地质环境监测等自然资源业务信息，负责自然资源档案的收集、整理、保管、查询利用业务，负责全县规划审查项目的经济技术指标复核与报建项目的建筑面积复核。</w:t>
            </w:r>
          </w:p>
        </w:tc>
      </w:tr>
      <w:tr w14:paraId="266D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574972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87E822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240453D">
            <w:pPr>
              <w:jc w:val="left"/>
            </w:pPr>
            <w:r>
              <w:rPr>
                <w:rStyle w:val="20"/>
                <w:rFonts w:hint="eastAsia" w:ascii="楷体_GB2312" w:eastAsia="楷体_GB2312" w:cs="楷体_GB2312"/>
                <w:sz w:val="28"/>
                <w:szCs w:val="28"/>
                <w:bdr w:val="none" w:color="auto" w:sz="0" w:space="0"/>
                <w:lang w:val="en-US"/>
              </w:rPr>
              <w:t>桃江县桃花江大道100号</w:t>
            </w:r>
          </w:p>
        </w:tc>
      </w:tr>
      <w:tr w14:paraId="339C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7329E0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1781DC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3285791">
            <w:pPr>
              <w:jc w:val="left"/>
            </w:pPr>
            <w:r>
              <w:rPr>
                <w:rStyle w:val="20"/>
                <w:rFonts w:hint="eastAsia" w:ascii="楷体_GB2312" w:eastAsia="楷体_GB2312" w:cs="楷体_GB2312"/>
                <w:sz w:val="28"/>
                <w:szCs w:val="28"/>
                <w:bdr w:val="none" w:color="auto" w:sz="0" w:space="0"/>
                <w:lang w:val="en-US"/>
              </w:rPr>
              <w:t>陈雪英</w:t>
            </w:r>
          </w:p>
        </w:tc>
      </w:tr>
      <w:tr w14:paraId="61FA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5257D2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1AA2BE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7C6923A">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59.1972</w:t>
            </w:r>
            <w:r>
              <w:rPr>
                <w:rStyle w:val="20"/>
                <w:rFonts w:hint="eastAsia" w:ascii="楷体_GB2312" w:eastAsia="楷体_GB2312" w:cs="楷体_GB2312"/>
                <w:sz w:val="28"/>
                <w:szCs w:val="28"/>
                <w:bdr w:val="none" w:color="auto" w:sz="0" w:space="0"/>
              </w:rPr>
              <w:t>（万元）</w:t>
            </w:r>
          </w:p>
        </w:tc>
      </w:tr>
      <w:tr w14:paraId="0CFA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98DF5D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75F6D1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89F3AFF">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财政补助（全额拨款）</w:t>
            </w:r>
          </w:p>
        </w:tc>
      </w:tr>
      <w:tr w14:paraId="05A7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BC59C4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15F53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F9DA275">
            <w:pPr>
              <w:jc w:val="left"/>
            </w:pPr>
            <w:r>
              <w:rPr>
                <w:rStyle w:val="20"/>
                <w:rFonts w:hint="eastAsia" w:ascii="楷体_GB2312" w:eastAsia="楷体_GB2312" w:cs="楷体_GB2312"/>
                <w:sz w:val="28"/>
                <w:szCs w:val="28"/>
                <w:bdr w:val="none" w:color="auto" w:sz="0" w:space="0"/>
                <w:lang w:val="en-US"/>
              </w:rPr>
              <w:t>桃江县自然资源局</w:t>
            </w:r>
          </w:p>
        </w:tc>
      </w:tr>
      <w:tr w14:paraId="476D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9D153DB">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BAB44C2">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4C8B3B04">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D0C4906">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4761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1E8182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2EFAE78">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1C56749">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450B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E4B778C">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3FC0DFD">
            <w:pPr>
              <w:jc w:val="center"/>
              <w:rPr>
                <w:sz w:val="32"/>
                <w:szCs w:val="24"/>
                <w:bdr w:val="none" w:color="auto" w:sz="0" w:space="0"/>
                <w:lang w:val="en-US"/>
              </w:rPr>
            </w:pPr>
            <w:r>
              <w:rPr>
                <w:rStyle w:val="19"/>
                <w:sz w:val="32"/>
                <w:szCs w:val="24"/>
                <w:bdr w:val="none" w:color="auto" w:sz="0" w:space="0"/>
                <w:lang w:val="en-US"/>
              </w:rPr>
              <w:t>78.4309</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0CC4F4D">
            <w:pPr>
              <w:jc w:val="center"/>
            </w:pPr>
            <w:r>
              <w:rPr>
                <w:rStyle w:val="20"/>
                <w:sz w:val="32"/>
                <w:szCs w:val="32"/>
                <w:bdr w:val="none" w:color="auto" w:sz="0" w:space="0"/>
                <w:lang w:val="en-US"/>
              </w:rPr>
              <w:t>59.1972</w:t>
            </w:r>
          </w:p>
        </w:tc>
      </w:tr>
      <w:tr w14:paraId="7A7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691C929">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F4B98AD">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桃江县自然资源信息中心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D2E0DB4">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CB37754">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5</w:t>
            </w:r>
          </w:p>
        </w:tc>
      </w:tr>
      <w:tr w14:paraId="5314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9B01E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FB5BB1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DC98F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0D987C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80FF8B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853E4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0E35D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4409798">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A4BB717">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根据《条例》和《实施细则《有关变更登记的规定及时做了变更登记</w:t>
            </w:r>
          </w:p>
        </w:tc>
      </w:tr>
      <w:tr w14:paraId="0BB2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C8186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E126E1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0E2D269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E1043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823D1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1AF1B77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3572B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4AD5121">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5BA3C1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1、完成年度用地报批项目生态红线、基本农田、建设用地红线压覆套合以及图纸制作，完成年度卫片图斑核查数据分发、图纸制作。 2、做好全局自然资源电子数据库的查询管理利用工作。完成年度档案的整理、装订以及对外对内查询服务，及局机关档案年检工作。 2、完成全系统电子数据的拷入拷出、分发管理，包括从省厅市局上级部门及林业、农业同级部门的数据拷入、向乡镇分发数据及向外单位提供数据。 3、加强保密管理工作，调整保密领导小组，完善保密管理制度。做好局机关涉密文件的移交、归档和保管工作，加强信息公开的保密审查。加强保密人员管理。不发生失泄密事件。 4、做好全系统网络维护工作。维护全系统电脑软硬件系统，保障全局网络顺畅运行、及时排除软硬件故障，对全局的政务外网进行改造，各个办公室及楼道加装WIFI面板。做好网络安全工作，不发生网络安全事故。 5、管理全局的视频会议系统和监控系统。调试信息化设备，做好会务保障，并管理维护好设备。 改造16楼多功能视频会议室，制作桃江县1:2000实体沙盘模型、建设桃江县城40.31平方公里实景三维影像数据成果。 </w:t>
            </w:r>
          </w:p>
          <w:p w14:paraId="790BF4E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BCF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618E827">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2317519">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2600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DFE308E">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8F18247">
            <w:pPr>
              <w:jc w:val="left"/>
            </w:pPr>
            <w:r>
              <w:rPr>
                <w:rStyle w:val="20"/>
                <w:rFonts w:hint="eastAsia" w:ascii="楷体_GB2312" w:eastAsia="楷体_GB2312" w:cs="楷体_GB2312"/>
                <w:sz w:val="28"/>
                <w:szCs w:val="28"/>
                <w:bdr w:val="none" w:color="auto" w:sz="0" w:space="0"/>
                <w:lang w:val="en-US"/>
              </w:rPr>
              <w:t>2023年绩效考核合格</w:t>
            </w:r>
          </w:p>
        </w:tc>
      </w:tr>
      <w:tr w14:paraId="0986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0BA8B04">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504966D">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2C6FAD1">
            <w:pPr>
              <w:jc w:val="left"/>
            </w:pPr>
            <w:r>
              <w:rPr>
                <w:rStyle w:val="20"/>
                <w:rFonts w:hint="eastAsia" w:ascii="楷体_GB2312" w:eastAsia="楷体_GB2312" w:cs="楷体_GB2312"/>
                <w:sz w:val="28"/>
                <w:szCs w:val="28"/>
                <w:bdr w:val="none" w:color="auto" w:sz="0" w:space="0"/>
                <w:lang w:val="en-US"/>
              </w:rPr>
              <w:t>无</w:t>
            </w:r>
          </w:p>
        </w:tc>
      </w:tr>
    </w:tbl>
    <w:p w14:paraId="0F5C071F">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6A792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hps"/>
    <w:basedOn w:val="13"/>
    <w:uiPriority w:val="0"/>
  </w:style>
  <w:style w:type="character" w:customStyle="1" w:styleId="16">
    <w:name w:val="font51"/>
    <w:basedOn w:val="13"/>
    <w:uiPriority w:val="0"/>
    <w:rPr>
      <w:rFonts w:hint="eastAsia" w:ascii="黑体" w:hAnsi="宋体" w:eastAsia="黑体" w:cs="黑体"/>
      <w:sz w:val="36"/>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950</Words>
  <Characters>1021</Characters>
  <Lines>4</Lines>
  <Paragraphs>1</Paragraphs>
  <TotalTime>45456.4375000016</TotalTime>
  <ScaleCrop>false</ScaleCrop>
  <LinksUpToDate>false</LinksUpToDate>
  <CharactersWithSpaces>1063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2024-06-13T02:44:02Z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A5B60237453D4D1CBE99FEDEDA011E05_13</vt:lpwstr>
  </property>
</Properties>
</file>