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66B4CF0">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3317EEC5">
      <w:pPr>
        <w:wordWrap w:val="0"/>
        <w:jc w:val="right"/>
        <w:rPr>
          <w:rFonts w:eastAsia="楷体_GB2312"/>
          <w:b/>
          <w:bCs/>
          <w:sz w:val="30"/>
          <w:szCs w:val="24"/>
          <w:lang w:val="en-US"/>
        </w:rPr>
      </w:pPr>
      <w:r>
        <w:rPr>
          <w:rFonts w:eastAsia="楷体_GB2312"/>
          <w:b/>
          <w:bCs/>
          <w:sz w:val="30"/>
          <w:szCs w:val="24"/>
          <w:lang w:val="en-US"/>
        </w:rPr>
        <w:t xml:space="preserve">   </w:t>
      </w:r>
      <w:r>
        <w:rPr>
          <w:rStyle w:val="20"/>
          <w:b/>
          <w:bCs/>
          <w:sz w:val="30"/>
          <w:szCs w:val="30"/>
          <w:lang w:val="en-US"/>
        </w:rPr>
        <w:t>124309227680008684</w:t>
      </w:r>
      <w:r>
        <w:rPr>
          <w:rFonts w:eastAsia="楷体_GB2312"/>
          <w:b/>
          <w:bCs/>
          <w:sz w:val="30"/>
          <w:szCs w:val="24"/>
          <w:lang w:val="en-US"/>
        </w:rPr>
        <w:t xml:space="preserve">   </w:t>
      </w:r>
    </w:p>
    <w:p w14:paraId="3D87F4E8">
      <w:pPr>
        <w:jc w:val="right"/>
        <w:rPr>
          <w:lang w:val="en-US"/>
        </w:rPr>
      </w:pPr>
    </w:p>
    <w:p w14:paraId="37846B16">
      <w:pPr>
        <w:jc w:val="right"/>
        <w:rPr>
          <w:lang w:val="en-US"/>
        </w:rPr>
      </w:pPr>
    </w:p>
    <w:p w14:paraId="5DD11D7E">
      <w:pPr>
        <w:jc w:val="right"/>
        <w:rPr>
          <w:lang w:val="en-US"/>
        </w:rPr>
      </w:pPr>
    </w:p>
    <w:p w14:paraId="633C840B">
      <w:pPr>
        <w:jc w:val="right"/>
        <w:rPr>
          <w:lang w:val="en-US"/>
        </w:rPr>
      </w:pPr>
    </w:p>
    <w:p w14:paraId="2F015811">
      <w:pPr>
        <w:jc w:val="right"/>
        <w:rPr>
          <w:lang w:val="en-US"/>
        </w:rPr>
      </w:pPr>
    </w:p>
    <w:p w14:paraId="1E8E71FF">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5CEFAB5C">
      <w:pPr>
        <w:jc w:val="center"/>
        <w:rPr>
          <w:rFonts w:eastAsia="黑体"/>
          <w:b/>
          <w:bCs/>
          <w:spacing w:val="30"/>
          <w:lang w:val="en-US"/>
        </w:rPr>
      </w:pPr>
    </w:p>
    <w:p w14:paraId="30327EED">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20"/>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0909C465">
      <w:pPr>
        <w:jc w:val="center"/>
        <w:rPr>
          <w:sz w:val="36"/>
          <w:szCs w:val="24"/>
          <w:lang w:val="en-US"/>
        </w:rPr>
      </w:pPr>
    </w:p>
    <w:p w14:paraId="556A1B14">
      <w:pPr>
        <w:jc w:val="center"/>
        <w:rPr>
          <w:sz w:val="36"/>
          <w:szCs w:val="24"/>
          <w:lang w:val="en-US"/>
        </w:rPr>
      </w:pPr>
    </w:p>
    <w:p w14:paraId="3AA661EA">
      <w:pPr>
        <w:jc w:val="center"/>
        <w:rPr>
          <w:sz w:val="36"/>
          <w:szCs w:val="24"/>
          <w:lang w:val="en-US"/>
        </w:rPr>
      </w:pPr>
    </w:p>
    <w:p w14:paraId="26AE262C">
      <w:pPr>
        <w:jc w:val="center"/>
        <w:rPr>
          <w:sz w:val="36"/>
          <w:szCs w:val="24"/>
          <w:lang w:val="en-US"/>
        </w:rPr>
      </w:pPr>
    </w:p>
    <w:p w14:paraId="255353A6">
      <w:pPr>
        <w:jc w:val="center"/>
        <w:rPr>
          <w:sz w:val="36"/>
          <w:szCs w:val="24"/>
          <w:lang w:val="en-US"/>
        </w:rPr>
      </w:pPr>
    </w:p>
    <w:p w14:paraId="11D36DF4">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157C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270EAFA9">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1E4B60C8">
            <w:pPr>
              <w:jc w:val="center"/>
              <w:rPr>
                <w:rFonts w:hint="eastAsia" w:ascii="楷体_GB2312" w:eastAsia="楷体_GB2312" w:cs="楷体_GB2312"/>
                <w:sz w:val="32"/>
                <w:szCs w:val="24"/>
                <w:bdr w:val="none" w:color="auto" w:sz="0" w:space="0"/>
                <w:lang w:val="en-US"/>
              </w:rPr>
            </w:pPr>
            <w:r>
              <w:rPr>
                <w:rStyle w:val="16"/>
                <w:rFonts w:hint="eastAsia" w:ascii="楷体_GB2312" w:eastAsia="楷体_GB2312" w:cs="楷体_GB2312"/>
                <w:sz w:val="32"/>
                <w:szCs w:val="24"/>
                <w:bdr w:val="none" w:color="auto" w:sz="0" w:space="0"/>
                <w:lang w:val="en-US"/>
              </w:rPr>
              <w:t>桃江县自然资源修复中心</w:t>
            </w:r>
          </w:p>
        </w:tc>
      </w:tr>
    </w:tbl>
    <w:p w14:paraId="0750DD69">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676F3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6C0FE1D8">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5C7FE3A3">
            <w:pPr>
              <w:keepNext w:val="0"/>
              <w:keepLines w:val="0"/>
              <w:widowControl/>
              <w:suppressLineNumbers w:val="0"/>
              <w:jc w:val="left"/>
              <w:rPr>
                <w:kern w:val="0"/>
                <w:sz w:val="20"/>
                <w:szCs w:val="20"/>
                <w:bdr w:val="none" w:color="auto" w:sz="0" w:space="0"/>
                <w:lang w:val="en-US"/>
              </w:rPr>
            </w:pPr>
          </w:p>
        </w:tc>
      </w:tr>
    </w:tbl>
    <w:p w14:paraId="603F56C4">
      <w:pPr>
        <w:ind w:left="0" w:firstLine="723" w:firstLineChars="300"/>
        <w:rPr>
          <w:rFonts w:hint="eastAsia" w:ascii="黑体" w:hAnsi="宋体" w:eastAsia="黑体" w:cs="黑体"/>
          <w:b/>
          <w:bCs/>
          <w:sz w:val="24"/>
          <w:szCs w:val="24"/>
          <w:u w:val="single"/>
          <w:lang w:val="en-US"/>
        </w:rPr>
      </w:pPr>
    </w:p>
    <w:p w14:paraId="24DBD434">
      <w:pPr>
        <w:jc w:val="center"/>
        <w:rPr>
          <w:rFonts w:hint="eastAsia" w:ascii="黑体" w:hAnsi="宋体" w:eastAsia="黑体" w:cs="黑体"/>
          <w:b/>
          <w:bCs/>
          <w:sz w:val="30"/>
          <w:szCs w:val="24"/>
          <w:u w:val="single"/>
          <w:lang w:val="en-US"/>
        </w:rPr>
      </w:pPr>
    </w:p>
    <w:p w14:paraId="60395BEE">
      <w:pPr>
        <w:jc w:val="center"/>
        <w:rPr>
          <w:rFonts w:hint="eastAsia" w:ascii="黑体" w:hAnsi="宋体" w:eastAsia="黑体" w:cs="黑体"/>
          <w:b/>
          <w:bCs/>
          <w:sz w:val="30"/>
          <w:szCs w:val="24"/>
          <w:u w:val="single"/>
          <w:lang w:val="en-US"/>
        </w:rPr>
      </w:pPr>
    </w:p>
    <w:p w14:paraId="1AB69BD8">
      <w:pPr>
        <w:jc w:val="center"/>
        <w:rPr>
          <w:u w:val="single"/>
          <w:lang w:val="en-US"/>
        </w:rPr>
      </w:pPr>
    </w:p>
    <w:p w14:paraId="203F25BE">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38269C37">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0922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399E909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68555B3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52C1199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3FE7A6B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3A78AA6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28EA5796">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513DF36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4E272E84">
            <w:pPr>
              <w:spacing w:line="320" w:lineRule="exact"/>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桃江县自然资源修复中心</w:t>
            </w:r>
          </w:p>
        </w:tc>
      </w:tr>
      <w:tr w14:paraId="0AB4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223799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5649CF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54C3985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240C29B">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土地开发复退整理 协助建立县级补充耕地项目库开发 耕地开发和土地整理的业务工作 新开耕地和新增可抵建设项目占用耕地的耕地储备工作 耕地补偿指标的有偿转让业务 土地复垦项目的管理、检查和督促工作 成片统征土地的初级开发 其他相关服务工作</w:t>
            </w:r>
          </w:p>
        </w:tc>
      </w:tr>
      <w:tr w14:paraId="018A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A9292D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25B1AE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737407F">
            <w:pPr>
              <w:jc w:val="left"/>
            </w:pPr>
            <w:r>
              <w:rPr>
                <w:rStyle w:val="14"/>
                <w:rFonts w:hint="eastAsia" w:ascii="楷体_GB2312" w:eastAsia="楷体_GB2312" w:cs="楷体_GB2312"/>
                <w:sz w:val="28"/>
                <w:szCs w:val="28"/>
                <w:bdr w:val="none" w:color="auto" w:sz="0" w:space="0"/>
                <w:lang w:val="en-US"/>
              </w:rPr>
              <w:t>桃江县桃花江大道100号</w:t>
            </w:r>
          </w:p>
        </w:tc>
      </w:tr>
      <w:tr w14:paraId="644E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32FD57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321F76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FAD220E">
            <w:pPr>
              <w:jc w:val="left"/>
            </w:pPr>
            <w:r>
              <w:rPr>
                <w:rStyle w:val="14"/>
                <w:rFonts w:hint="eastAsia" w:ascii="楷体_GB2312" w:eastAsia="楷体_GB2312" w:cs="楷体_GB2312"/>
                <w:sz w:val="28"/>
                <w:szCs w:val="28"/>
                <w:bdr w:val="none" w:color="auto" w:sz="0" w:space="0"/>
                <w:lang w:val="en-US"/>
              </w:rPr>
              <w:t>胡剑</w:t>
            </w:r>
          </w:p>
        </w:tc>
      </w:tr>
      <w:tr w14:paraId="3453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3B6037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4B2035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1845EDD">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3</w:t>
            </w:r>
            <w:r>
              <w:rPr>
                <w:rStyle w:val="14"/>
                <w:rFonts w:hint="eastAsia" w:ascii="楷体_GB2312" w:eastAsia="楷体_GB2312" w:cs="楷体_GB2312"/>
                <w:sz w:val="28"/>
                <w:szCs w:val="28"/>
                <w:bdr w:val="none" w:color="auto" w:sz="0" w:space="0"/>
              </w:rPr>
              <w:t>（万元）</w:t>
            </w:r>
          </w:p>
        </w:tc>
      </w:tr>
      <w:tr w14:paraId="3D69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83240B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E80A53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7EA2384F">
            <w:pPr>
              <w:jc w:val="left"/>
              <w:rPr>
                <w:sz w:val="32"/>
                <w:szCs w:val="32"/>
                <w:bdr w:val="none" w:color="auto" w:sz="0" w:space="0"/>
                <w:lang w:val="en-US"/>
              </w:rPr>
            </w:pPr>
            <w:r>
              <w:rPr>
                <w:rStyle w:val="14"/>
                <w:rFonts w:hint="eastAsia" w:ascii="楷体_GB2312" w:eastAsia="楷体_GB2312" w:cs="楷体_GB2312"/>
                <w:sz w:val="28"/>
                <w:szCs w:val="28"/>
                <w:bdr w:val="none" w:color="auto" w:sz="0" w:space="0"/>
                <w:lang w:val="en-US"/>
              </w:rPr>
              <w:t>非财政补助（经费自理）</w:t>
            </w:r>
          </w:p>
        </w:tc>
      </w:tr>
      <w:tr w14:paraId="5AF6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D8EF48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A2349E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285DD8FC">
            <w:pPr>
              <w:jc w:val="left"/>
            </w:pPr>
            <w:r>
              <w:rPr>
                <w:rStyle w:val="14"/>
                <w:rFonts w:hint="eastAsia" w:ascii="楷体_GB2312" w:eastAsia="楷体_GB2312" w:cs="楷体_GB2312"/>
                <w:sz w:val="28"/>
                <w:szCs w:val="28"/>
                <w:bdr w:val="none" w:color="auto" w:sz="0" w:space="0"/>
                <w:lang w:val="en-US"/>
              </w:rPr>
              <w:t>桃江县自然资源局</w:t>
            </w:r>
          </w:p>
        </w:tc>
      </w:tr>
      <w:tr w14:paraId="3F4F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06257D02">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2117AE38">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754D85A7">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1BD102B4">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净资产合计（所有者权益合计）</w:t>
            </w:r>
          </w:p>
        </w:tc>
      </w:tr>
      <w:tr w14:paraId="25BC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22090E99">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D62E127">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79A2952F">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年末数（万元）</w:t>
            </w:r>
          </w:p>
        </w:tc>
      </w:tr>
      <w:tr w14:paraId="0918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2E62DE69">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501451C">
            <w:pPr>
              <w:jc w:val="center"/>
              <w:rPr>
                <w:sz w:val="32"/>
                <w:szCs w:val="24"/>
                <w:bdr w:val="none" w:color="auto" w:sz="0" w:space="0"/>
                <w:lang w:val="en-US"/>
              </w:rPr>
            </w:pPr>
            <w:r>
              <w:rPr>
                <w:rStyle w:val="16"/>
                <w:sz w:val="32"/>
                <w:szCs w:val="24"/>
                <w:bdr w:val="none" w:color="auto" w:sz="0" w:space="0"/>
                <w:lang w:val="en-US"/>
              </w:rPr>
              <w:t>3</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133F1E49">
            <w:pPr>
              <w:jc w:val="center"/>
            </w:pPr>
            <w:r>
              <w:rPr>
                <w:rStyle w:val="14"/>
                <w:sz w:val="32"/>
                <w:szCs w:val="32"/>
                <w:bdr w:val="none" w:color="auto" w:sz="0" w:space="0"/>
                <w:lang w:val="en-US"/>
              </w:rPr>
              <w:t>3</w:t>
            </w:r>
          </w:p>
        </w:tc>
      </w:tr>
      <w:tr w14:paraId="361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AAFF5A6">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49CF7E1">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桃江县自然资源修复中心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781C4F5F">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4186199C">
            <w:pPr>
              <w:spacing w:line="0" w:lineRule="atLeast"/>
              <w:jc w:val="left"/>
              <w:rPr>
                <w:rFonts w:hint="eastAsia" w:ascii="楷体_GB2312" w:eastAsia="楷体_GB2312" w:cs="楷体_GB2312"/>
                <w:sz w:val="32"/>
                <w:szCs w:val="24"/>
                <w:bdr w:val="none" w:color="auto" w:sz="0" w:space="0"/>
                <w:lang w:val="en-US"/>
              </w:rPr>
            </w:pPr>
            <w:r>
              <w:rPr>
                <w:rStyle w:val="16"/>
                <w:sz w:val="32"/>
                <w:szCs w:val="24"/>
                <w:bdr w:val="none" w:color="auto" w:sz="0" w:space="0"/>
                <w:lang w:val="en-US"/>
              </w:rPr>
              <w:t>37</w:t>
            </w:r>
          </w:p>
        </w:tc>
      </w:tr>
      <w:tr w14:paraId="374A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D145B1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32263B5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6AA4B3F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013FEF4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579F0DA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22A5FA5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533C9AF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7BDCE80D">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62C936C">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无</w:t>
            </w:r>
          </w:p>
        </w:tc>
      </w:tr>
      <w:tr w14:paraId="4932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1B79D9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45163A9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6768888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5D77006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7562133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1F5AB32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5BE31E8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29DA1060">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148927A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4"/>
                <w:rFonts w:hint="eastAsia" w:ascii="楷体_GB2312" w:eastAsia="楷体_GB2312" w:cs="楷体_GB2312"/>
                <w:sz w:val="28"/>
                <w:szCs w:val="24"/>
                <w:bdr w:val="none" w:color="auto" w:sz="0" w:space="0"/>
                <w:lang w:val="en-US"/>
              </w:rPr>
              <w:t xml:space="preserve">1、根据开展新增耕地“春苗”行动工作方案要求，安排工作人员参加了针对补充耕地项目未落实耕种地块专项督导工作； 2、针对武汉督察局下发我县补充耕地项目三类16个问题图斑，成立工作专班，逐地块进行了核实整改，在7月上旬完成了整改举证工作，并在“国土调查云”中的督察执法模块上完成举证销号； 3、启动实施2022年度城乡建设用地挂钩项目，预计总投资1500多万元，规划拆旧复垦农用地总规模面积约582亩； 4、按照省市要求，我县耕地占补平衡专项整治工作组织相关部门进行了动员部署，制定了专项整治工作方案（桃自然资发[2023]38号），根据工作方案要求已完成“六类”问题自查自纠排查统计，出具了《桃江县耕地占补平衡专项整治自查自纠报告》。 </w:t>
            </w:r>
          </w:p>
          <w:p w14:paraId="1B326A42">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6090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2C7D0C99">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4B5D905">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4"/>
                <w:bdr w:val="none" w:color="auto" w:sz="0" w:space="0"/>
                <w:lang w:val="en-US"/>
              </w:rPr>
              <w:t>自2023年6月21日至2028年6月20日</w:t>
            </w:r>
          </w:p>
        </w:tc>
      </w:tr>
      <w:tr w14:paraId="6636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BEE4DF4">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2B2984BE">
            <w:pPr>
              <w:jc w:val="left"/>
            </w:pPr>
            <w:r>
              <w:rPr>
                <w:rStyle w:val="14"/>
                <w:rFonts w:hint="eastAsia" w:ascii="楷体_GB2312" w:eastAsia="楷体_GB2312" w:cs="楷体_GB2312"/>
                <w:sz w:val="28"/>
                <w:szCs w:val="28"/>
                <w:bdr w:val="none" w:color="auto" w:sz="0" w:space="0"/>
                <w:lang w:val="en-US"/>
              </w:rPr>
              <w:t>无</w:t>
            </w:r>
          </w:p>
        </w:tc>
      </w:tr>
      <w:tr w14:paraId="041C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10857FB4">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29659024">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01046E8">
            <w:pPr>
              <w:jc w:val="left"/>
            </w:pPr>
            <w:r>
              <w:rPr>
                <w:rStyle w:val="14"/>
                <w:rFonts w:hint="eastAsia" w:ascii="楷体_GB2312" w:eastAsia="楷体_GB2312" w:cs="楷体_GB2312"/>
                <w:sz w:val="28"/>
                <w:szCs w:val="28"/>
                <w:bdr w:val="none" w:color="auto" w:sz="0" w:space="0"/>
                <w:lang w:val="en-US"/>
              </w:rPr>
              <w:t>无</w:t>
            </w:r>
          </w:p>
        </w:tc>
      </w:tr>
    </w:tbl>
    <w:p w14:paraId="72DCD76D">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2B5977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9"/>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71"/>
    <w:basedOn w:val="13"/>
    <w:uiPriority w:val="0"/>
    <w:rPr>
      <w:rFonts w:hint="default" w:ascii="Times New Roman" w:hAnsi="Times New Roman" w:eastAsia="楷体_GB2312" w:cs="Times New Roman"/>
      <w:sz w:val="28"/>
      <w:szCs w:val="24"/>
    </w:rPr>
  </w:style>
  <w:style w:type="character" w:customStyle="1" w:styleId="15">
    <w:name w:val="hps"/>
    <w:basedOn w:val="13"/>
    <w:uiPriority w:val="0"/>
  </w:style>
  <w:style w:type="character" w:customStyle="1" w:styleId="16">
    <w:name w:val="font61"/>
    <w:basedOn w:val="13"/>
    <w:uiPriority w:val="0"/>
    <w:rPr>
      <w:rFonts w:hint="default" w:ascii="Times New Roman" w:hAnsi="Times New Roman" w:eastAsia="楷体_GB2312" w:cs="Times New Roman"/>
      <w:sz w:val="32"/>
      <w:szCs w:val="24"/>
    </w:rPr>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页脚 Char"/>
    <w:basedOn w:val="13"/>
    <w:link w:val="8"/>
    <w:locked/>
    <w:uiPriority w:val="0"/>
    <w:rPr>
      <w:rFonts w:hint="default" w:ascii="Times New Roman" w:hAnsi="Times New Roman" w:eastAsia="宋体" w:cs="Times New Roman"/>
      <w:sz w:val="18"/>
      <w:szCs w:val="18"/>
    </w:rPr>
  </w:style>
  <w:style w:type="character" w:customStyle="1" w:styleId="20">
    <w:name w:val="font21"/>
    <w:basedOn w:val="13"/>
    <w:uiPriority w:val="0"/>
    <w:rPr>
      <w:rFonts w:hint="default" w:ascii="Times New Roman" w:hAnsi="Times New Roman" w:eastAsia="楷体_GB2312" w:cs="Times New Roman"/>
      <w:sz w:val="3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4</Pages>
  <Words>725</Words>
  <Characters>787</Characters>
  <Lines>4</Lines>
  <Paragraphs>1</Paragraphs>
  <TotalTime>45456.4375000016</TotalTime>
  <ScaleCrop>false</ScaleCrop>
  <LinksUpToDate>false</LinksUpToDate>
  <CharactersWithSpaces>833</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2024-06-13T02:37:10Z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89E26F0B74CE4AD380723F51C6B69F52_13</vt:lpwstr>
  </property>
</Properties>
</file>