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86" w:beforeLines="50" w:after="286" w:afterLines="50" w:line="800" w:lineRule="exact"/>
        <w:jc w:val="center"/>
        <w:rPr>
          <w:rFonts w:hint="eastAsia" w:eastAsia="方正小标宋_GBK"/>
          <w:sz w:val="40"/>
          <w:szCs w:val="40"/>
        </w:rPr>
      </w:pPr>
      <w:bookmarkStart w:id="1" w:name="_GoBack"/>
      <w:bookmarkEnd w:id="1"/>
      <w:r>
        <w:rPr>
          <w:rFonts w:hint="eastAsia" w:eastAsia="方正小标宋_GBK"/>
          <w:sz w:val="40"/>
          <w:szCs w:val="40"/>
          <w:u w:val="single"/>
        </w:rPr>
        <w:t xml:space="preserve"> </w:t>
      </w:r>
      <w:r>
        <w:rPr>
          <w:rFonts w:hint="eastAsia" w:eastAsia="方正小标宋_GBK"/>
          <w:sz w:val="40"/>
          <w:szCs w:val="40"/>
          <w:u w:val="single"/>
          <w:lang w:val="en-US" w:eastAsia="zh-CN"/>
        </w:rPr>
        <w:t>桃江</w:t>
      </w:r>
      <w:r>
        <w:rPr>
          <w:rFonts w:hint="eastAsia" w:eastAsia="方正小标宋_GBK"/>
          <w:sz w:val="40"/>
          <w:szCs w:val="40"/>
          <w:u w:val="single"/>
        </w:rPr>
        <w:t xml:space="preserve"> </w:t>
      </w:r>
      <w:r>
        <w:rPr>
          <w:rFonts w:hint="eastAsia" w:eastAsia="方正小标宋_GBK"/>
          <w:sz w:val="40"/>
          <w:szCs w:val="40"/>
        </w:rPr>
        <w:t>县（市、区）农村千人以上</w:t>
      </w:r>
      <w:r>
        <w:rPr>
          <w:rFonts w:eastAsia="方正小标宋_GBK"/>
          <w:sz w:val="40"/>
          <w:szCs w:val="40"/>
        </w:rPr>
        <w:t>饮用水水源保护区划分技术报告</w:t>
      </w:r>
      <w:r>
        <w:rPr>
          <w:rFonts w:hint="eastAsia" w:eastAsia="方正小标宋_GBK"/>
          <w:sz w:val="40"/>
          <w:szCs w:val="40"/>
        </w:rPr>
        <w:t>表</w:t>
      </w:r>
    </w:p>
    <w:tbl>
      <w:tblPr>
        <w:tblStyle w:val="10"/>
        <w:tblW w:w="85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04"/>
        <w:gridCol w:w="404"/>
        <w:gridCol w:w="134"/>
        <w:gridCol w:w="242"/>
        <w:gridCol w:w="201"/>
        <w:gridCol w:w="146"/>
        <w:gridCol w:w="334"/>
        <w:gridCol w:w="565"/>
        <w:gridCol w:w="18"/>
        <w:gridCol w:w="146"/>
        <w:gridCol w:w="743"/>
        <w:gridCol w:w="149"/>
        <w:gridCol w:w="282"/>
        <w:gridCol w:w="925"/>
        <w:gridCol w:w="45"/>
        <w:gridCol w:w="78"/>
        <w:gridCol w:w="91"/>
        <w:gridCol w:w="190"/>
        <w:gridCol w:w="88"/>
        <w:gridCol w:w="562"/>
        <w:gridCol w:w="386"/>
        <w:gridCol w:w="438"/>
        <w:gridCol w:w="13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1474" w:type="dxa"/>
            <w:gridSpan w:val="3"/>
            <w:noWrap w:val="0"/>
            <w:vAlign w:val="center"/>
          </w:tcPr>
          <w:p>
            <w:pPr>
              <w:pStyle w:val="16"/>
              <w:rPr>
                <w:b/>
                <w:bCs/>
                <w:sz w:val="24"/>
                <w:szCs w:val="24"/>
              </w:rPr>
            </w:pPr>
            <w:r>
              <w:rPr>
                <w:rFonts w:hint="eastAsia"/>
                <w:b/>
                <w:bCs/>
                <w:sz w:val="24"/>
                <w:szCs w:val="24"/>
              </w:rPr>
              <w:t>饮用水水源地</w:t>
            </w:r>
            <w:r>
              <w:rPr>
                <w:b/>
                <w:bCs/>
                <w:sz w:val="24"/>
                <w:szCs w:val="24"/>
              </w:rPr>
              <w:t>名称</w:t>
            </w:r>
          </w:p>
        </w:tc>
        <w:tc>
          <w:tcPr>
            <w:tcW w:w="7073" w:type="dxa"/>
            <w:gridSpan w:val="21"/>
            <w:noWrap w:val="0"/>
            <w:vAlign w:val="center"/>
          </w:tcPr>
          <w:p>
            <w:pPr>
              <w:pStyle w:val="16"/>
              <w:rPr>
                <w:rFonts w:hint="default" w:eastAsia="宋体"/>
                <w:sz w:val="24"/>
                <w:szCs w:val="24"/>
                <w:lang w:val="en-US" w:eastAsia="zh-CN"/>
              </w:rPr>
            </w:pPr>
            <w:r>
              <w:rPr>
                <w:rFonts w:hint="eastAsia" w:ascii="宋体" w:hAnsi="宋体" w:cs="宋体"/>
                <w:color w:val="auto"/>
                <w:kern w:val="0"/>
                <w:sz w:val="24"/>
                <w:szCs w:val="24"/>
                <w:lang w:val="en-US" w:eastAsia="zh-CN"/>
              </w:rPr>
              <w:t>桃江县鸬鹚渡镇蒋家冲村夏家湾山溪水饮用水水源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1474" w:type="dxa"/>
            <w:gridSpan w:val="3"/>
            <w:noWrap w:val="0"/>
            <w:vAlign w:val="center"/>
          </w:tcPr>
          <w:p>
            <w:pPr>
              <w:pStyle w:val="16"/>
              <w:rPr>
                <w:rFonts w:hint="eastAsia"/>
                <w:b/>
                <w:bCs/>
                <w:sz w:val="24"/>
                <w:szCs w:val="24"/>
              </w:rPr>
            </w:pPr>
            <w:r>
              <w:rPr>
                <w:rFonts w:hint="eastAsia"/>
                <w:b/>
                <w:bCs/>
                <w:sz w:val="24"/>
                <w:szCs w:val="24"/>
              </w:rPr>
              <w:t>对应水厂名称</w:t>
            </w:r>
          </w:p>
        </w:tc>
        <w:tc>
          <w:tcPr>
            <w:tcW w:w="4099" w:type="dxa"/>
            <w:gridSpan w:val="15"/>
            <w:noWrap w:val="0"/>
            <w:vAlign w:val="center"/>
          </w:tcPr>
          <w:p>
            <w:pPr>
              <w:pStyle w:val="16"/>
              <w:rPr>
                <w:rFonts w:hint="default" w:eastAsia="宋体"/>
                <w:sz w:val="24"/>
                <w:szCs w:val="24"/>
                <w:lang w:val="en-US" w:eastAsia="zh-CN"/>
              </w:rPr>
            </w:pPr>
            <w:r>
              <w:rPr>
                <w:rFonts w:hint="eastAsia" w:ascii="宋体" w:hAnsi="宋体" w:cs="宋体"/>
                <w:color w:val="auto"/>
                <w:kern w:val="0"/>
                <w:sz w:val="24"/>
                <w:szCs w:val="24"/>
                <w:lang w:val="en-US" w:eastAsia="zh-CN"/>
              </w:rPr>
              <w:t>桃江县鸬鹚渡镇夏家湾水厂</w:t>
            </w:r>
          </w:p>
        </w:tc>
        <w:tc>
          <w:tcPr>
            <w:tcW w:w="1226" w:type="dxa"/>
            <w:gridSpan w:val="4"/>
            <w:noWrap w:val="0"/>
            <w:vAlign w:val="center"/>
          </w:tcPr>
          <w:p>
            <w:pPr>
              <w:pStyle w:val="16"/>
              <w:rPr>
                <w:rFonts w:hint="eastAsia"/>
                <w:b/>
                <w:bCs/>
                <w:sz w:val="24"/>
                <w:szCs w:val="24"/>
              </w:rPr>
            </w:pPr>
            <w:r>
              <w:rPr>
                <w:rFonts w:hint="eastAsia"/>
                <w:b/>
                <w:bCs/>
                <w:sz w:val="24"/>
                <w:szCs w:val="24"/>
              </w:rPr>
              <w:t>水源地编码</w:t>
            </w:r>
          </w:p>
        </w:tc>
        <w:tc>
          <w:tcPr>
            <w:tcW w:w="1748" w:type="dxa"/>
            <w:gridSpan w:val="2"/>
            <w:noWrap w:val="0"/>
            <w:vAlign w:val="center"/>
          </w:tcPr>
          <w:p>
            <w:pPr>
              <w:pStyle w:val="16"/>
              <w:rPr>
                <w:rFonts w:hint="eastAsia"/>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1474" w:type="dxa"/>
            <w:gridSpan w:val="3"/>
            <w:noWrap w:val="0"/>
            <w:vAlign w:val="center"/>
          </w:tcPr>
          <w:p>
            <w:pPr>
              <w:pStyle w:val="16"/>
              <w:rPr>
                <w:rFonts w:hint="eastAsia"/>
                <w:b/>
                <w:bCs/>
                <w:sz w:val="24"/>
                <w:szCs w:val="24"/>
              </w:rPr>
            </w:pPr>
            <w:r>
              <w:rPr>
                <w:rFonts w:hint="eastAsia"/>
                <w:b/>
                <w:bCs/>
                <w:sz w:val="24"/>
                <w:szCs w:val="24"/>
              </w:rPr>
              <w:t>所属流域</w:t>
            </w:r>
          </w:p>
        </w:tc>
        <w:tc>
          <w:tcPr>
            <w:tcW w:w="1622" w:type="dxa"/>
            <w:gridSpan w:val="6"/>
            <w:noWrap w:val="0"/>
            <w:vAlign w:val="center"/>
          </w:tcPr>
          <w:p>
            <w:pPr>
              <w:pStyle w:val="16"/>
              <w:rPr>
                <w:rFonts w:hint="eastAsia"/>
                <w:sz w:val="24"/>
                <w:szCs w:val="24"/>
              </w:rPr>
            </w:pPr>
            <w:r>
              <w:rPr>
                <w:rFonts w:hint="eastAsia" w:ascii="Wingdings 2" w:hAnsi="Wingdings 2" w:cs="Wingdings 2"/>
                <w:sz w:val="24"/>
                <w:szCs w:val="24"/>
                <w:lang w:val="en-US" w:eastAsia="zh-CN"/>
              </w:rPr>
              <w:sym w:font="Wingdings 2" w:char="00A3"/>
            </w:r>
            <w:r>
              <w:rPr>
                <w:rFonts w:hint="eastAsia"/>
                <w:sz w:val="24"/>
                <w:szCs w:val="24"/>
              </w:rPr>
              <w:t>湘、</w:t>
            </w:r>
            <w:r>
              <w:rPr>
                <w:rFonts w:hint="eastAsia" w:ascii="宋体" w:hAnsi="宋体"/>
                <w:sz w:val="24"/>
                <w:szCs w:val="24"/>
              </w:rPr>
              <w:sym w:font="Wingdings 2" w:char="0052"/>
            </w:r>
            <w:r>
              <w:rPr>
                <w:rFonts w:hint="eastAsia"/>
                <w:sz w:val="24"/>
                <w:szCs w:val="24"/>
              </w:rPr>
              <w:t>资、</w:t>
            </w:r>
            <w:r>
              <w:rPr>
                <w:rFonts w:hint="default" w:ascii="Wingdings 2" w:hAnsi="Wingdings 2" w:cs="Wingdings 2"/>
                <w:sz w:val="24"/>
                <w:szCs w:val="24"/>
              </w:rPr>
              <w:t>□</w:t>
            </w:r>
            <w:r>
              <w:rPr>
                <w:rFonts w:hint="eastAsia"/>
                <w:sz w:val="24"/>
                <w:szCs w:val="24"/>
              </w:rPr>
              <w:t>沅、</w:t>
            </w:r>
            <w:r>
              <w:rPr>
                <w:rFonts w:hint="eastAsia" w:ascii="宋体" w:hAnsi="宋体"/>
                <w:sz w:val="24"/>
                <w:szCs w:val="24"/>
              </w:rPr>
              <w:t>□</w:t>
            </w:r>
            <w:r>
              <w:rPr>
                <w:rFonts w:hint="eastAsia"/>
                <w:sz w:val="24"/>
                <w:szCs w:val="24"/>
              </w:rPr>
              <w:t>澧、</w:t>
            </w:r>
            <w:r>
              <w:rPr>
                <w:rFonts w:hint="eastAsia" w:ascii="宋体" w:hAnsi="宋体"/>
                <w:sz w:val="24"/>
                <w:szCs w:val="24"/>
              </w:rPr>
              <w:t>□洞庭湖</w:t>
            </w:r>
          </w:p>
        </w:tc>
        <w:tc>
          <w:tcPr>
            <w:tcW w:w="907" w:type="dxa"/>
            <w:gridSpan w:val="3"/>
            <w:noWrap w:val="0"/>
            <w:vAlign w:val="center"/>
          </w:tcPr>
          <w:p>
            <w:pPr>
              <w:pStyle w:val="16"/>
              <w:rPr>
                <w:rFonts w:hint="eastAsia"/>
                <w:sz w:val="24"/>
                <w:szCs w:val="24"/>
              </w:rPr>
            </w:pPr>
            <w:r>
              <w:rPr>
                <w:rFonts w:hint="eastAsia"/>
                <w:sz w:val="24"/>
                <w:szCs w:val="24"/>
              </w:rPr>
              <w:t>所属一级支流</w:t>
            </w:r>
          </w:p>
        </w:tc>
        <w:tc>
          <w:tcPr>
            <w:tcW w:w="1570" w:type="dxa"/>
            <w:gridSpan w:val="6"/>
            <w:noWrap w:val="0"/>
            <w:vAlign w:val="center"/>
          </w:tcPr>
          <w:p>
            <w:pPr>
              <w:pStyle w:val="16"/>
              <w:rPr>
                <w:rFonts w:hint="default" w:eastAsia="宋体"/>
                <w:sz w:val="24"/>
                <w:szCs w:val="24"/>
                <w:lang w:val="en-US" w:eastAsia="zh-CN"/>
              </w:rPr>
            </w:pPr>
            <w:r>
              <w:rPr>
                <w:rFonts w:hint="eastAsia"/>
                <w:sz w:val="24"/>
                <w:szCs w:val="24"/>
                <w:lang w:val="en-US" w:eastAsia="zh-CN"/>
              </w:rPr>
              <w:t>/</w:t>
            </w:r>
          </w:p>
        </w:tc>
        <w:tc>
          <w:tcPr>
            <w:tcW w:w="1226" w:type="dxa"/>
            <w:gridSpan w:val="4"/>
            <w:noWrap w:val="0"/>
            <w:vAlign w:val="center"/>
          </w:tcPr>
          <w:p>
            <w:pPr>
              <w:pStyle w:val="16"/>
              <w:rPr>
                <w:rFonts w:hint="eastAsia"/>
                <w:b/>
                <w:bCs/>
                <w:sz w:val="24"/>
                <w:szCs w:val="24"/>
              </w:rPr>
            </w:pPr>
            <w:r>
              <w:rPr>
                <w:rFonts w:hint="eastAsia"/>
                <w:b/>
                <w:bCs/>
                <w:sz w:val="24"/>
                <w:szCs w:val="24"/>
              </w:rPr>
              <w:t>所在河流、湖泊（水库）</w:t>
            </w:r>
          </w:p>
        </w:tc>
        <w:tc>
          <w:tcPr>
            <w:tcW w:w="1748" w:type="dxa"/>
            <w:gridSpan w:val="2"/>
            <w:noWrap w:val="0"/>
            <w:vAlign w:val="center"/>
          </w:tcPr>
          <w:p>
            <w:pPr>
              <w:pStyle w:val="16"/>
              <w:rPr>
                <w:rFonts w:hint="eastAsia"/>
                <w:sz w:val="24"/>
                <w:szCs w:val="24"/>
              </w:rPr>
            </w:pPr>
            <w:r>
              <w:rPr>
                <w:rFonts w:hint="eastAsia"/>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474" w:type="dxa"/>
            <w:gridSpan w:val="3"/>
            <w:noWrap w:val="0"/>
            <w:vAlign w:val="center"/>
          </w:tcPr>
          <w:p>
            <w:pPr>
              <w:pStyle w:val="16"/>
              <w:rPr>
                <w:b/>
                <w:bCs/>
                <w:sz w:val="24"/>
                <w:szCs w:val="24"/>
              </w:rPr>
            </w:pPr>
            <w:r>
              <w:rPr>
                <w:rFonts w:hint="eastAsia"/>
                <w:b/>
                <w:bCs/>
                <w:sz w:val="24"/>
                <w:szCs w:val="24"/>
              </w:rPr>
              <w:t>所在市、州</w:t>
            </w:r>
          </w:p>
        </w:tc>
        <w:tc>
          <w:tcPr>
            <w:tcW w:w="1057" w:type="dxa"/>
            <w:gridSpan w:val="5"/>
            <w:noWrap w:val="0"/>
            <w:vAlign w:val="center"/>
          </w:tcPr>
          <w:p>
            <w:pPr>
              <w:pStyle w:val="16"/>
              <w:rPr>
                <w:rFonts w:hint="default" w:eastAsia="宋体"/>
                <w:sz w:val="24"/>
                <w:szCs w:val="24"/>
                <w:lang w:val="en-US" w:eastAsia="zh-CN"/>
              </w:rPr>
            </w:pPr>
            <w:r>
              <w:rPr>
                <w:rFonts w:hint="eastAsia"/>
                <w:sz w:val="24"/>
                <w:szCs w:val="24"/>
                <w:lang w:val="en-US" w:eastAsia="zh-CN"/>
              </w:rPr>
              <w:t>益阳市</w:t>
            </w:r>
          </w:p>
        </w:tc>
        <w:tc>
          <w:tcPr>
            <w:tcW w:w="1903" w:type="dxa"/>
            <w:gridSpan w:val="6"/>
            <w:noWrap w:val="0"/>
            <w:vAlign w:val="center"/>
          </w:tcPr>
          <w:p>
            <w:pPr>
              <w:pStyle w:val="16"/>
              <w:rPr>
                <w:b/>
                <w:bCs/>
                <w:sz w:val="24"/>
                <w:szCs w:val="24"/>
              </w:rPr>
            </w:pPr>
            <w:r>
              <w:rPr>
                <w:rFonts w:hint="eastAsia"/>
                <w:b/>
                <w:bCs/>
                <w:sz w:val="24"/>
                <w:szCs w:val="24"/>
              </w:rPr>
              <w:t>所在县、市、区</w:t>
            </w:r>
          </w:p>
        </w:tc>
        <w:tc>
          <w:tcPr>
            <w:tcW w:w="1417" w:type="dxa"/>
            <w:gridSpan w:val="6"/>
            <w:noWrap w:val="0"/>
            <w:vAlign w:val="center"/>
          </w:tcPr>
          <w:p>
            <w:pPr>
              <w:pStyle w:val="16"/>
              <w:rPr>
                <w:rFonts w:hint="default" w:eastAsia="宋体"/>
                <w:sz w:val="24"/>
                <w:szCs w:val="24"/>
                <w:lang w:val="en-US" w:eastAsia="zh-CN"/>
              </w:rPr>
            </w:pPr>
            <w:r>
              <w:rPr>
                <w:rFonts w:hint="eastAsia"/>
                <w:sz w:val="24"/>
                <w:szCs w:val="24"/>
                <w:lang w:val="en-US" w:eastAsia="zh-CN"/>
              </w:rPr>
              <w:t>桃江县</w:t>
            </w:r>
          </w:p>
        </w:tc>
        <w:tc>
          <w:tcPr>
            <w:tcW w:w="1386" w:type="dxa"/>
            <w:gridSpan w:val="3"/>
            <w:noWrap w:val="0"/>
            <w:vAlign w:val="center"/>
          </w:tcPr>
          <w:p>
            <w:pPr>
              <w:pStyle w:val="16"/>
              <w:rPr>
                <w:b/>
                <w:bCs/>
                <w:sz w:val="24"/>
                <w:szCs w:val="24"/>
              </w:rPr>
            </w:pPr>
            <w:r>
              <w:rPr>
                <w:rFonts w:hint="eastAsia"/>
                <w:b/>
                <w:bCs/>
                <w:sz w:val="24"/>
                <w:szCs w:val="24"/>
              </w:rPr>
              <w:t>所在乡镇</w:t>
            </w:r>
          </w:p>
        </w:tc>
        <w:tc>
          <w:tcPr>
            <w:tcW w:w="1310" w:type="dxa"/>
            <w:noWrap w:val="0"/>
            <w:vAlign w:val="center"/>
          </w:tcPr>
          <w:p>
            <w:pPr>
              <w:pStyle w:val="16"/>
              <w:rPr>
                <w:sz w:val="24"/>
                <w:szCs w:val="24"/>
              </w:rPr>
            </w:pPr>
            <w:r>
              <w:rPr>
                <w:rFonts w:hint="eastAsia"/>
                <w:sz w:val="24"/>
                <w:szCs w:val="24"/>
                <w:lang w:val="en-US" w:eastAsia="zh-CN"/>
              </w:rPr>
              <w:t>鸬鹚渡镇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43" w:hRule="exact"/>
          <w:jc w:val="center"/>
        </w:trPr>
        <w:tc>
          <w:tcPr>
            <w:tcW w:w="1474" w:type="dxa"/>
            <w:gridSpan w:val="3"/>
            <w:noWrap w:val="0"/>
            <w:vAlign w:val="center"/>
          </w:tcPr>
          <w:p>
            <w:pPr>
              <w:pStyle w:val="16"/>
              <w:rPr>
                <w:rFonts w:hint="eastAsia" w:eastAsia="宋体"/>
                <w:b/>
                <w:bCs/>
                <w:sz w:val="24"/>
                <w:szCs w:val="24"/>
                <w:lang w:eastAsia="zh-CN"/>
              </w:rPr>
            </w:pPr>
            <w:r>
              <w:rPr>
                <w:rFonts w:hint="eastAsia"/>
                <w:b/>
                <w:bCs/>
                <w:sz w:val="24"/>
                <w:szCs w:val="24"/>
                <w:lang w:eastAsia="zh-CN"/>
              </w:rPr>
              <w:t>工作背景</w:t>
            </w:r>
          </w:p>
        </w:tc>
        <w:tc>
          <w:tcPr>
            <w:tcW w:w="7073" w:type="dxa"/>
            <w:gridSpan w:val="21"/>
            <w:noWrap w:val="0"/>
            <w:vAlign w:val="top"/>
          </w:tcPr>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桃江县鸬鹚渡镇蒋家村原有鸬鹚渡镇蒋家村供水工程，</w:t>
            </w:r>
            <w:bookmarkStart w:id="0" w:name="OLE_LINK18"/>
            <w:r>
              <w:rPr>
                <w:rFonts w:hint="eastAsia"/>
                <w:sz w:val="24"/>
                <w:szCs w:val="24"/>
                <w:lang w:val="en-US" w:eastAsia="zh-CN"/>
              </w:rPr>
              <w:t>以舒家庵溪作为水源点</w:t>
            </w:r>
            <w:bookmarkEnd w:id="0"/>
            <w:r>
              <w:rPr>
                <w:rFonts w:hint="eastAsia"/>
                <w:sz w:val="24"/>
                <w:szCs w:val="24"/>
                <w:lang w:val="en-US" w:eastAsia="zh-CN"/>
              </w:rPr>
              <w:t>，其供水范围为蒋家村，设计供水人口2179人，实际供水人口为3000人，设计日供水量为150，取水口的经纬度为E111°56'19.2988",N28°21'19.4820"，于2015年12月投入供水。2021年6月，益阳市生态环境局桃江分局委托湖南坤诚检测技术有限公司编制了《益阳市桃江县鸬鹚渡镇蒋家村舒家庵溪饮用水水源保护区划分技术报告》。2022年下半年以来，气候异常恶劣，长时间干旱，舒家庵溪溪水水量大幅度减少，水量及其不稳定，由于水量减少，水压随之减小，大部分地势较高的村民无法满足用水要求。为保障居民用水问题，镇党委通报县水利局、县生态环境局，联合各单位多次现场调研，最终决定新增</w:t>
            </w:r>
            <w:r>
              <w:rPr>
                <w:rFonts w:hint="eastAsia" w:ascii="宋体" w:hAnsi="宋体" w:cs="宋体"/>
                <w:color w:val="auto"/>
                <w:kern w:val="0"/>
                <w:sz w:val="24"/>
                <w:szCs w:val="24"/>
                <w:lang w:val="en-US" w:eastAsia="zh-CN"/>
              </w:rPr>
              <w:t>鸬鹚渡镇蒋家冲村夏家湾山溪、鸬鹚渡镇蒋家冲村曹家湾山溪两处水源地，对原舒家湾水厂的水源进行置换，同时新建曹家湾水厂、夏家湾水厂。履行正常手续，</w:t>
            </w:r>
            <w:r>
              <w:rPr>
                <w:rFonts w:hint="eastAsia"/>
                <w:sz w:val="24"/>
                <w:szCs w:val="24"/>
                <w:lang w:val="en-US" w:eastAsia="zh-CN"/>
              </w:rPr>
              <w:t>桃江县鸬鹚渡镇人民政府委托湖南湘健环保科技有限公司对拟建</w:t>
            </w:r>
            <w:r>
              <w:rPr>
                <w:rFonts w:hint="eastAsia" w:ascii="宋体" w:hAnsi="宋体" w:cs="宋体"/>
                <w:color w:val="auto"/>
                <w:kern w:val="0"/>
                <w:sz w:val="24"/>
                <w:szCs w:val="24"/>
                <w:lang w:val="en-US" w:eastAsia="zh-CN"/>
              </w:rPr>
              <w:t>桃江县鸬鹚渡镇蒋家冲村夏家湾水厂水源编制饮用水水源保护区划分技术报告表。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474" w:type="dxa"/>
            <w:gridSpan w:val="3"/>
            <w:noWrap w:val="0"/>
            <w:vAlign w:val="center"/>
          </w:tcPr>
          <w:p>
            <w:pPr>
              <w:pStyle w:val="16"/>
              <w:rPr>
                <w:rFonts w:hint="eastAsia"/>
                <w:b/>
                <w:bCs/>
                <w:sz w:val="24"/>
                <w:szCs w:val="24"/>
              </w:rPr>
            </w:pPr>
            <w:r>
              <w:rPr>
                <w:rFonts w:hint="eastAsia"/>
                <w:b/>
                <w:bCs/>
                <w:sz w:val="24"/>
                <w:szCs w:val="24"/>
              </w:rPr>
              <w:t>服务人口（万）</w:t>
            </w:r>
          </w:p>
        </w:tc>
        <w:tc>
          <w:tcPr>
            <w:tcW w:w="1057" w:type="dxa"/>
            <w:gridSpan w:val="5"/>
            <w:noWrap w:val="0"/>
            <w:vAlign w:val="center"/>
          </w:tcPr>
          <w:p>
            <w:pPr>
              <w:pStyle w:val="16"/>
              <w:rPr>
                <w:rFonts w:hint="default" w:eastAsia="宋体"/>
                <w:sz w:val="24"/>
                <w:szCs w:val="24"/>
                <w:highlight w:val="none"/>
                <w:lang w:val="en-US" w:eastAsia="zh-CN"/>
              </w:rPr>
            </w:pPr>
            <w:r>
              <w:rPr>
                <w:rFonts w:hint="eastAsia"/>
                <w:sz w:val="24"/>
                <w:szCs w:val="24"/>
                <w:highlight w:val="none"/>
                <w:lang w:val="en-US" w:eastAsia="zh-CN"/>
              </w:rPr>
              <w:t>0.2</w:t>
            </w:r>
          </w:p>
        </w:tc>
        <w:tc>
          <w:tcPr>
            <w:tcW w:w="1903" w:type="dxa"/>
            <w:gridSpan w:val="6"/>
            <w:noWrap w:val="0"/>
            <w:vAlign w:val="center"/>
          </w:tcPr>
          <w:p>
            <w:pPr>
              <w:pStyle w:val="16"/>
              <w:rPr>
                <w:rFonts w:hint="eastAsia"/>
                <w:b/>
                <w:bCs/>
                <w:sz w:val="24"/>
                <w:szCs w:val="24"/>
                <w:highlight w:val="none"/>
              </w:rPr>
            </w:pPr>
            <w:r>
              <w:rPr>
                <w:rFonts w:hint="eastAsia"/>
                <w:b/>
                <w:bCs/>
                <w:sz w:val="24"/>
                <w:szCs w:val="24"/>
                <w:highlight w:val="none"/>
              </w:rPr>
              <w:t>服务范围</w:t>
            </w:r>
          </w:p>
        </w:tc>
        <w:tc>
          <w:tcPr>
            <w:tcW w:w="4113" w:type="dxa"/>
            <w:gridSpan w:val="10"/>
            <w:noWrap w:val="0"/>
            <w:vAlign w:val="center"/>
          </w:tcPr>
          <w:p>
            <w:pPr>
              <w:pStyle w:val="16"/>
              <w:rPr>
                <w:rFonts w:hint="eastAsia" w:eastAsia="宋体"/>
                <w:sz w:val="24"/>
                <w:szCs w:val="24"/>
                <w:highlight w:val="none"/>
                <w:lang w:val="en-US" w:eastAsia="zh-CN"/>
              </w:rPr>
            </w:pPr>
            <w:r>
              <w:rPr>
                <w:rFonts w:hint="eastAsia"/>
                <w:sz w:val="24"/>
                <w:szCs w:val="24"/>
                <w:highlight w:val="none"/>
                <w:lang w:val="en-US" w:eastAsia="zh-CN"/>
              </w:rPr>
              <w:t>蒋家村、铁家塅村、蒋家冲村、夏家湾、陆家湾等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474" w:type="dxa"/>
            <w:gridSpan w:val="3"/>
            <w:noWrap w:val="0"/>
            <w:vAlign w:val="center"/>
          </w:tcPr>
          <w:p>
            <w:pPr>
              <w:pStyle w:val="16"/>
              <w:rPr>
                <w:rFonts w:hint="eastAsia"/>
                <w:b/>
                <w:bCs/>
                <w:sz w:val="24"/>
                <w:szCs w:val="24"/>
              </w:rPr>
            </w:pPr>
            <w:r>
              <w:rPr>
                <w:rFonts w:hint="eastAsia"/>
                <w:b/>
                <w:bCs/>
                <w:sz w:val="24"/>
                <w:szCs w:val="24"/>
              </w:rPr>
              <w:t>设计取水规模（吨/日）</w:t>
            </w:r>
          </w:p>
        </w:tc>
        <w:tc>
          <w:tcPr>
            <w:tcW w:w="1057" w:type="dxa"/>
            <w:gridSpan w:val="5"/>
            <w:noWrap w:val="0"/>
            <w:vAlign w:val="center"/>
          </w:tcPr>
          <w:p>
            <w:pPr>
              <w:pStyle w:val="16"/>
              <w:rPr>
                <w:rFonts w:hint="default" w:eastAsia="宋体"/>
                <w:sz w:val="24"/>
                <w:szCs w:val="24"/>
                <w:highlight w:val="none"/>
                <w:lang w:val="en-US" w:eastAsia="zh-CN"/>
              </w:rPr>
            </w:pPr>
            <w:r>
              <w:rPr>
                <w:rFonts w:hint="eastAsia"/>
                <w:sz w:val="24"/>
                <w:szCs w:val="24"/>
                <w:highlight w:val="none"/>
                <w:lang w:val="en-US" w:eastAsia="zh-CN"/>
              </w:rPr>
              <w:t>280</w:t>
            </w:r>
          </w:p>
        </w:tc>
        <w:tc>
          <w:tcPr>
            <w:tcW w:w="1903" w:type="dxa"/>
            <w:gridSpan w:val="6"/>
            <w:noWrap w:val="0"/>
            <w:vAlign w:val="center"/>
          </w:tcPr>
          <w:p>
            <w:pPr>
              <w:pStyle w:val="16"/>
              <w:rPr>
                <w:rFonts w:hint="eastAsia"/>
                <w:b/>
                <w:bCs/>
                <w:sz w:val="24"/>
                <w:szCs w:val="24"/>
                <w:highlight w:val="none"/>
              </w:rPr>
            </w:pPr>
            <w:r>
              <w:rPr>
                <w:rFonts w:hint="eastAsia"/>
                <w:b/>
                <w:bCs/>
                <w:sz w:val="24"/>
                <w:szCs w:val="24"/>
                <w:highlight w:val="none"/>
              </w:rPr>
              <w:t>实际取水规模（吨/日）</w:t>
            </w:r>
          </w:p>
        </w:tc>
        <w:tc>
          <w:tcPr>
            <w:tcW w:w="1139" w:type="dxa"/>
            <w:gridSpan w:val="4"/>
            <w:noWrap w:val="0"/>
            <w:vAlign w:val="center"/>
          </w:tcPr>
          <w:p>
            <w:pPr>
              <w:pStyle w:val="16"/>
              <w:rPr>
                <w:rFonts w:hint="default" w:eastAsia="宋体"/>
                <w:sz w:val="24"/>
                <w:szCs w:val="24"/>
                <w:highlight w:val="none"/>
                <w:lang w:val="en-US" w:eastAsia="zh-CN"/>
              </w:rPr>
            </w:pPr>
            <w:r>
              <w:rPr>
                <w:rFonts w:hint="eastAsia"/>
                <w:sz w:val="24"/>
                <w:szCs w:val="24"/>
                <w:highlight w:val="none"/>
                <w:lang w:val="en-US" w:eastAsia="zh-CN"/>
              </w:rPr>
              <w:t>/</w:t>
            </w:r>
          </w:p>
        </w:tc>
        <w:tc>
          <w:tcPr>
            <w:tcW w:w="840" w:type="dxa"/>
            <w:gridSpan w:val="3"/>
            <w:noWrap w:val="0"/>
            <w:vAlign w:val="center"/>
          </w:tcPr>
          <w:p>
            <w:pPr>
              <w:pStyle w:val="16"/>
              <w:rPr>
                <w:b/>
                <w:bCs/>
                <w:sz w:val="24"/>
                <w:szCs w:val="24"/>
                <w:highlight w:val="none"/>
              </w:rPr>
            </w:pPr>
            <w:r>
              <w:rPr>
                <w:rFonts w:hint="eastAsia"/>
                <w:b/>
                <w:bCs/>
                <w:sz w:val="24"/>
                <w:szCs w:val="24"/>
                <w:highlight w:val="none"/>
              </w:rPr>
              <w:t>投产时间</w:t>
            </w:r>
          </w:p>
        </w:tc>
        <w:tc>
          <w:tcPr>
            <w:tcW w:w="2134" w:type="dxa"/>
            <w:gridSpan w:val="3"/>
            <w:noWrap w:val="0"/>
            <w:vAlign w:val="center"/>
          </w:tcPr>
          <w:p>
            <w:pPr>
              <w:pStyle w:val="16"/>
              <w:rPr>
                <w:rFonts w:hint="default" w:eastAsia="宋体"/>
                <w:sz w:val="24"/>
                <w:szCs w:val="24"/>
                <w:lang w:val="en-US" w:eastAsia="zh-CN"/>
              </w:rPr>
            </w:pPr>
            <w:r>
              <w:rPr>
                <w:rFonts w:hint="eastAsia"/>
                <w:sz w:val="24"/>
                <w:szCs w:val="24"/>
                <w:highlight w:val="yellow"/>
                <w:lang w:val="en-US" w:eastAsia="zh-CN"/>
              </w:rPr>
              <w:t>预计2023年冬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66" w:type="dxa"/>
            <w:noWrap w:val="0"/>
            <w:vAlign w:val="center"/>
          </w:tcPr>
          <w:p>
            <w:pPr>
              <w:pStyle w:val="16"/>
              <w:rPr>
                <w:rFonts w:hint="eastAsia"/>
                <w:b/>
                <w:bCs/>
                <w:sz w:val="24"/>
                <w:szCs w:val="24"/>
              </w:rPr>
            </w:pPr>
            <w:r>
              <w:rPr>
                <w:rFonts w:hint="eastAsia"/>
                <w:b/>
                <w:bCs/>
                <w:sz w:val="24"/>
                <w:szCs w:val="24"/>
              </w:rPr>
              <w:t>规模</w:t>
            </w:r>
          </w:p>
        </w:tc>
        <w:tc>
          <w:tcPr>
            <w:tcW w:w="1231" w:type="dxa"/>
            <w:gridSpan w:val="6"/>
            <w:noWrap w:val="0"/>
            <w:vAlign w:val="center"/>
          </w:tcPr>
          <w:p>
            <w:pPr>
              <w:pStyle w:val="16"/>
              <w:rPr>
                <w:sz w:val="24"/>
                <w:szCs w:val="24"/>
              </w:rPr>
            </w:pPr>
            <w:r>
              <w:rPr>
                <w:rFonts w:hint="eastAsia" w:ascii="宋体" w:hAnsi="宋体"/>
                <w:sz w:val="24"/>
                <w:szCs w:val="24"/>
              </w:rPr>
              <w:sym w:font="Wingdings 2" w:char="00A3"/>
            </w:r>
            <w:r>
              <w:rPr>
                <w:rFonts w:hint="eastAsia"/>
                <w:sz w:val="24"/>
                <w:szCs w:val="24"/>
              </w:rPr>
              <w:t>乡镇千人以上、</w:t>
            </w:r>
            <w:r>
              <w:rPr>
                <w:rFonts w:hint="eastAsia" w:ascii="宋体" w:hAnsi="宋体"/>
                <w:sz w:val="24"/>
                <w:szCs w:val="24"/>
              </w:rPr>
              <w:sym w:font="Wingdings 2" w:char="0052"/>
            </w:r>
            <w:r>
              <w:rPr>
                <w:rFonts w:hint="eastAsia"/>
                <w:sz w:val="24"/>
                <w:szCs w:val="24"/>
              </w:rPr>
              <w:t>农村千人以上</w:t>
            </w:r>
          </w:p>
        </w:tc>
        <w:tc>
          <w:tcPr>
            <w:tcW w:w="1063" w:type="dxa"/>
            <w:gridSpan w:val="4"/>
            <w:noWrap w:val="0"/>
            <w:vAlign w:val="center"/>
          </w:tcPr>
          <w:p>
            <w:pPr>
              <w:pStyle w:val="16"/>
              <w:rPr>
                <w:rFonts w:hint="eastAsia"/>
                <w:sz w:val="24"/>
                <w:szCs w:val="24"/>
              </w:rPr>
            </w:pPr>
            <w:r>
              <w:rPr>
                <w:rFonts w:hint="eastAsia"/>
                <w:b/>
                <w:bCs/>
                <w:sz w:val="24"/>
                <w:szCs w:val="24"/>
              </w:rPr>
              <w:t>取水口坐标</w:t>
            </w:r>
          </w:p>
        </w:tc>
        <w:tc>
          <w:tcPr>
            <w:tcW w:w="2144" w:type="dxa"/>
            <w:gridSpan w:val="5"/>
            <w:noWrap w:val="0"/>
            <w:vAlign w:val="center"/>
          </w:tcPr>
          <w:p>
            <w:pPr>
              <w:pStyle w:val="16"/>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111.911294075E</w:t>
            </w:r>
          </w:p>
          <w:p>
            <w:pPr>
              <w:pStyle w:val="16"/>
              <w:jc w:val="center"/>
              <w:rPr>
                <w:rFonts w:hint="eastAsia" w:ascii="Times New Roman" w:hAnsi="Times New Roman" w:cs="Times New Roman"/>
                <w:sz w:val="24"/>
                <w:szCs w:val="24"/>
                <w:lang w:val="en-US" w:eastAsia="zh-CN"/>
              </w:rPr>
            </w:pPr>
            <w:r>
              <w:rPr>
                <w:rFonts w:hint="default" w:ascii="Times New Roman" w:hAnsi="Times New Roman" w:cs="Times New Roman"/>
                <w:sz w:val="24"/>
                <w:szCs w:val="24"/>
              </w:rPr>
              <w:t>28.352124384</w:t>
            </w:r>
            <w:r>
              <w:rPr>
                <w:rFonts w:hint="eastAsia" w:ascii="Times New Roman" w:hAnsi="Times New Roman" w:cs="Times New Roman"/>
                <w:sz w:val="24"/>
                <w:szCs w:val="24"/>
                <w:lang w:val="en-US" w:eastAsia="zh-CN"/>
              </w:rPr>
              <w:t>N</w:t>
            </w:r>
          </w:p>
          <w:p>
            <w:pPr>
              <w:pStyle w:val="16"/>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226.134</w:t>
            </w:r>
            <w:r>
              <w:rPr>
                <w:rFonts w:hint="eastAsia" w:cs="Times New Roman"/>
                <w:sz w:val="24"/>
                <w:szCs w:val="24"/>
                <w:lang w:val="en-US" w:eastAsia="zh-CN"/>
              </w:rPr>
              <w:t>H</w:t>
            </w:r>
          </w:p>
        </w:tc>
        <w:tc>
          <w:tcPr>
            <w:tcW w:w="1009" w:type="dxa"/>
            <w:gridSpan w:val="5"/>
            <w:noWrap w:val="0"/>
            <w:vAlign w:val="center"/>
          </w:tcPr>
          <w:p>
            <w:pPr>
              <w:pStyle w:val="16"/>
              <w:rPr>
                <w:rFonts w:hint="eastAsia"/>
                <w:b/>
                <w:bCs/>
                <w:sz w:val="24"/>
                <w:szCs w:val="24"/>
              </w:rPr>
            </w:pPr>
            <w:r>
              <w:rPr>
                <w:rFonts w:hint="eastAsia"/>
                <w:b/>
                <w:bCs/>
                <w:sz w:val="24"/>
                <w:szCs w:val="24"/>
              </w:rPr>
              <w:t>监测断面坐标</w:t>
            </w:r>
          </w:p>
        </w:tc>
        <w:tc>
          <w:tcPr>
            <w:tcW w:w="2134" w:type="dxa"/>
            <w:gridSpan w:val="3"/>
            <w:noWrap w:val="0"/>
            <w:vAlign w:val="center"/>
          </w:tcPr>
          <w:p>
            <w:pPr>
              <w:pStyle w:val="16"/>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111.911294075E</w:t>
            </w:r>
          </w:p>
          <w:p>
            <w:pPr>
              <w:pStyle w:val="16"/>
              <w:jc w:val="center"/>
              <w:rPr>
                <w:rFonts w:hint="eastAsia" w:ascii="Times New Roman" w:hAnsi="Times New Roman" w:cs="Times New Roman"/>
                <w:sz w:val="24"/>
                <w:szCs w:val="24"/>
                <w:lang w:val="en-US" w:eastAsia="zh-CN"/>
              </w:rPr>
            </w:pPr>
            <w:r>
              <w:rPr>
                <w:rFonts w:hint="default" w:ascii="Times New Roman" w:hAnsi="Times New Roman" w:cs="Times New Roman"/>
                <w:sz w:val="24"/>
                <w:szCs w:val="24"/>
              </w:rPr>
              <w:t>28.352124384</w:t>
            </w:r>
            <w:r>
              <w:rPr>
                <w:rFonts w:hint="eastAsia" w:ascii="Times New Roman" w:hAnsi="Times New Roman" w:cs="Times New Roman"/>
                <w:sz w:val="24"/>
                <w:szCs w:val="24"/>
                <w:lang w:val="en-US" w:eastAsia="zh-CN"/>
              </w:rPr>
              <w:t>N</w:t>
            </w:r>
          </w:p>
          <w:p>
            <w:pPr>
              <w:pStyle w:val="16"/>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val="en-US" w:eastAsia="zh-CN"/>
              </w:rPr>
              <w:t>226.134</w:t>
            </w:r>
            <w:r>
              <w:rPr>
                <w:rFonts w:hint="eastAsia" w:cs="Times New Roman"/>
                <w:sz w:val="24"/>
                <w:szCs w:val="24"/>
                <w:lang w:val="en-US" w:eastAsia="zh-CN"/>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6" w:hRule="exact"/>
          <w:jc w:val="center"/>
        </w:trPr>
        <w:tc>
          <w:tcPr>
            <w:tcW w:w="966" w:type="dxa"/>
            <w:noWrap w:val="0"/>
            <w:vAlign w:val="center"/>
          </w:tcPr>
          <w:p>
            <w:pPr>
              <w:pStyle w:val="16"/>
              <w:rPr>
                <w:rFonts w:hint="eastAsia"/>
                <w:b/>
                <w:bCs/>
                <w:sz w:val="24"/>
                <w:szCs w:val="24"/>
              </w:rPr>
            </w:pPr>
            <w:r>
              <w:rPr>
                <w:rFonts w:hint="eastAsia"/>
                <w:b/>
                <w:bCs/>
                <w:sz w:val="24"/>
                <w:szCs w:val="24"/>
              </w:rPr>
              <w:t>使用状态</w:t>
            </w:r>
          </w:p>
        </w:tc>
        <w:tc>
          <w:tcPr>
            <w:tcW w:w="642" w:type="dxa"/>
            <w:gridSpan w:val="3"/>
            <w:noWrap w:val="0"/>
            <w:vAlign w:val="center"/>
          </w:tcPr>
          <w:p>
            <w:pPr>
              <w:pStyle w:val="16"/>
              <w:rPr>
                <w:sz w:val="24"/>
                <w:szCs w:val="24"/>
              </w:rPr>
            </w:pPr>
            <w:r>
              <w:rPr>
                <w:rFonts w:hint="eastAsia" w:ascii="宋体" w:hAnsi="宋体"/>
                <w:sz w:val="24"/>
                <w:szCs w:val="24"/>
              </w:rPr>
              <w:sym w:font="Wingdings 2" w:char="00A3"/>
            </w:r>
            <w:r>
              <w:rPr>
                <w:rFonts w:hint="eastAsia"/>
                <w:sz w:val="24"/>
                <w:szCs w:val="24"/>
              </w:rPr>
              <w:t>在用</w:t>
            </w:r>
            <w:r>
              <w:rPr>
                <w:rFonts w:hint="eastAsia" w:ascii="宋体" w:hAnsi="宋体"/>
                <w:sz w:val="24"/>
                <w:szCs w:val="24"/>
              </w:rPr>
              <w:t>□</w:t>
            </w:r>
            <w:r>
              <w:rPr>
                <w:rFonts w:hint="eastAsia"/>
                <w:sz w:val="24"/>
                <w:szCs w:val="24"/>
              </w:rPr>
              <w:t>在建</w:t>
            </w:r>
            <w:r>
              <w:rPr>
                <w:rFonts w:hint="eastAsia" w:ascii="宋体" w:hAnsi="宋体"/>
                <w:sz w:val="24"/>
                <w:szCs w:val="24"/>
              </w:rPr>
              <w:sym w:font="Wingdings 2" w:char="0052"/>
            </w:r>
            <w:r>
              <w:rPr>
                <w:rFonts w:hint="eastAsia"/>
                <w:sz w:val="24"/>
                <w:szCs w:val="24"/>
              </w:rPr>
              <w:t>规划</w:t>
            </w:r>
            <w:r>
              <w:rPr>
                <w:rFonts w:hint="eastAsia" w:ascii="宋体" w:hAnsi="宋体"/>
                <w:sz w:val="24"/>
                <w:szCs w:val="24"/>
              </w:rPr>
              <w:t>□</w:t>
            </w:r>
            <w:r>
              <w:rPr>
                <w:rFonts w:hint="eastAsia"/>
                <w:sz w:val="24"/>
                <w:szCs w:val="24"/>
              </w:rPr>
              <w:t>备用</w:t>
            </w:r>
          </w:p>
        </w:tc>
        <w:tc>
          <w:tcPr>
            <w:tcW w:w="589" w:type="dxa"/>
            <w:gridSpan w:val="3"/>
            <w:noWrap w:val="0"/>
            <w:vAlign w:val="center"/>
          </w:tcPr>
          <w:p>
            <w:pPr>
              <w:pStyle w:val="16"/>
              <w:rPr>
                <w:rFonts w:hint="eastAsia"/>
                <w:sz w:val="24"/>
                <w:szCs w:val="24"/>
              </w:rPr>
            </w:pPr>
            <w:r>
              <w:rPr>
                <w:rFonts w:hint="eastAsia"/>
                <w:b/>
                <w:bCs/>
                <w:sz w:val="24"/>
                <w:szCs w:val="24"/>
              </w:rPr>
              <w:t>水质情况</w:t>
            </w:r>
          </w:p>
        </w:tc>
        <w:tc>
          <w:tcPr>
            <w:tcW w:w="3654" w:type="dxa"/>
            <w:gridSpan w:val="13"/>
            <w:noWrap w:val="0"/>
            <w:vAlign w:val="center"/>
          </w:tcPr>
          <w:p>
            <w:pPr>
              <w:pStyle w:val="16"/>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eastAsia="宋体"/>
                <w:sz w:val="24"/>
                <w:szCs w:val="24"/>
                <w:lang w:val="en-US" w:eastAsia="zh-CN"/>
              </w:rPr>
            </w:pPr>
            <w:r>
              <w:rPr>
                <w:rFonts w:hint="eastAsia"/>
                <w:sz w:val="24"/>
                <w:szCs w:val="24"/>
                <w:lang w:val="en-US" w:eastAsia="zh-CN"/>
              </w:rPr>
              <w:t>桃江鸬鹚渡镇蒋家冲村夏家湾山溪水饮用水水源地经2023年06月19日取样监测，</w:t>
            </w:r>
            <w:r>
              <w:rPr>
                <w:rFonts w:hint="eastAsia" w:cs="Times New Roman"/>
                <w:sz w:val="24"/>
                <w:szCs w:val="24"/>
                <w:lang w:val="en-US" w:eastAsia="zh-CN"/>
              </w:rPr>
              <w:t>61项所测因子表1的基本项目（总共24项）除总氮不参与评价外，其余均满足《地表水环境质量标准》（GB3838-2002）表1中Ⅱ类标准限值；表2的补充项目（5项）和表3中的特定项目（33项）满足《地表水环境质量标准》（GB3838-2002）中表2、表3标准限值。详</w:t>
            </w:r>
            <w:r>
              <w:rPr>
                <w:rFonts w:hint="eastAsia" w:cs="Times New Roman"/>
                <w:sz w:val="24"/>
                <w:szCs w:val="24"/>
                <w:highlight w:val="none"/>
                <w:lang w:val="en-US" w:eastAsia="zh-CN"/>
              </w:rPr>
              <w:t>见附件1水质</w:t>
            </w:r>
            <w:r>
              <w:rPr>
                <w:rFonts w:hint="eastAsia" w:cs="Times New Roman"/>
                <w:sz w:val="24"/>
                <w:szCs w:val="24"/>
                <w:lang w:val="en-US" w:eastAsia="zh-CN"/>
              </w:rPr>
              <w:t>监测报告。</w:t>
            </w:r>
          </w:p>
        </w:tc>
        <w:tc>
          <w:tcPr>
            <w:tcW w:w="562" w:type="dxa"/>
            <w:noWrap w:val="0"/>
            <w:vAlign w:val="center"/>
          </w:tcPr>
          <w:p>
            <w:pPr>
              <w:pStyle w:val="16"/>
              <w:rPr>
                <w:rFonts w:hint="eastAsia"/>
                <w:b/>
                <w:bCs/>
                <w:sz w:val="24"/>
                <w:szCs w:val="24"/>
              </w:rPr>
            </w:pPr>
            <w:r>
              <w:rPr>
                <w:rFonts w:hint="eastAsia"/>
                <w:b/>
                <w:bCs/>
                <w:sz w:val="24"/>
                <w:szCs w:val="24"/>
              </w:rPr>
              <w:t>水量情况</w:t>
            </w:r>
          </w:p>
        </w:tc>
        <w:tc>
          <w:tcPr>
            <w:tcW w:w="2134" w:type="dxa"/>
            <w:gridSpan w:val="3"/>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sz w:val="24"/>
                <w:szCs w:val="24"/>
                <w:lang w:val="en-US" w:eastAsia="zh-CN"/>
              </w:rPr>
            </w:pPr>
            <w:r>
              <w:rPr>
                <w:rFonts w:hint="eastAsia"/>
                <w:b w:val="0"/>
                <w:bCs w:val="0"/>
                <w:color w:val="auto"/>
                <w:sz w:val="24"/>
                <w:szCs w:val="24"/>
                <w:lang w:val="en-US" w:eastAsia="zh-CN"/>
              </w:rPr>
              <w:t>根据益阳智诚环保科技有限公司编制曹家湾（夏家湾）水厂取水水资源论证报告表结论，详</w:t>
            </w:r>
            <w:r>
              <w:rPr>
                <w:rFonts w:hint="eastAsia"/>
                <w:b w:val="0"/>
                <w:bCs w:val="0"/>
                <w:color w:val="auto"/>
                <w:sz w:val="24"/>
                <w:szCs w:val="24"/>
                <w:highlight w:val="none"/>
                <w:lang w:val="en-US" w:eastAsia="zh-CN"/>
              </w:rPr>
              <w:t>见附件3水资源论证报告</w:t>
            </w:r>
            <w:r>
              <w:rPr>
                <w:rFonts w:hint="eastAsia"/>
                <w:b w:val="0"/>
                <w:bCs w:val="0"/>
                <w:color w:val="auto"/>
                <w:sz w:val="24"/>
                <w:szCs w:val="24"/>
                <w:lang w:val="en-US" w:eastAsia="zh-CN"/>
              </w:rPr>
              <w:t>及附件4取水许可证。因此，水量可达。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66" w:type="dxa"/>
            <w:vMerge w:val="restart"/>
            <w:noWrap w:val="0"/>
            <w:vAlign w:val="center"/>
          </w:tcPr>
          <w:p>
            <w:pPr>
              <w:pStyle w:val="16"/>
              <w:rPr>
                <w:rFonts w:hint="eastAsia"/>
                <w:b/>
                <w:bCs/>
                <w:sz w:val="24"/>
                <w:szCs w:val="24"/>
              </w:rPr>
            </w:pPr>
            <w:r>
              <w:rPr>
                <w:rFonts w:hint="eastAsia"/>
                <w:b/>
                <w:bCs/>
                <w:sz w:val="24"/>
                <w:szCs w:val="24"/>
              </w:rPr>
              <w:t>保护区类型</w:t>
            </w:r>
          </w:p>
        </w:tc>
        <w:tc>
          <w:tcPr>
            <w:tcW w:w="1231" w:type="dxa"/>
            <w:gridSpan w:val="6"/>
            <w:noWrap w:val="0"/>
            <w:vAlign w:val="center"/>
          </w:tcPr>
          <w:p>
            <w:pPr>
              <w:pStyle w:val="16"/>
              <w:rPr>
                <w:sz w:val="24"/>
                <w:szCs w:val="24"/>
              </w:rPr>
            </w:pPr>
            <w:r>
              <w:rPr>
                <w:rFonts w:hint="eastAsia" w:ascii="宋体" w:hAnsi="宋体"/>
                <w:sz w:val="24"/>
                <w:szCs w:val="24"/>
              </w:rPr>
              <w:sym w:font="Wingdings 2" w:char="0052"/>
            </w:r>
            <w:r>
              <w:rPr>
                <w:rFonts w:hint="eastAsia"/>
                <w:sz w:val="24"/>
                <w:szCs w:val="24"/>
              </w:rPr>
              <w:t>河流</w:t>
            </w:r>
          </w:p>
        </w:tc>
        <w:tc>
          <w:tcPr>
            <w:tcW w:w="6350" w:type="dxa"/>
            <w:gridSpan w:val="17"/>
            <w:noWrap w:val="0"/>
            <w:vAlign w:val="center"/>
          </w:tcPr>
          <w:p>
            <w:pPr>
              <w:pStyle w:val="16"/>
              <w:jc w:val="left"/>
              <w:rPr>
                <w:sz w:val="24"/>
                <w:szCs w:val="24"/>
              </w:rPr>
            </w:pPr>
            <w:r>
              <w:rPr>
                <w:rFonts w:hint="eastAsia" w:ascii="宋体" w:hAnsi="宋体"/>
                <w:sz w:val="24"/>
                <w:szCs w:val="24"/>
              </w:rPr>
              <w:t>1、</w:t>
            </w:r>
            <w:r>
              <w:rPr>
                <w:rFonts w:hint="eastAsia"/>
                <w:sz w:val="24"/>
                <w:szCs w:val="24"/>
              </w:rPr>
              <w:t>防洪堤（</w:t>
            </w:r>
            <w:r>
              <w:rPr>
                <w:rFonts w:hint="eastAsia" w:ascii="宋体" w:hAnsi="宋体"/>
                <w:sz w:val="24"/>
                <w:szCs w:val="24"/>
              </w:rPr>
              <w:t>□</w:t>
            </w:r>
            <w:r>
              <w:rPr>
                <w:rFonts w:hint="eastAsia"/>
                <w:sz w:val="24"/>
                <w:szCs w:val="24"/>
              </w:rPr>
              <w:t>有</w:t>
            </w:r>
            <w:r>
              <w:rPr>
                <w:rFonts w:hint="eastAsia" w:ascii="宋体" w:hAnsi="宋体"/>
                <w:sz w:val="24"/>
                <w:szCs w:val="24"/>
              </w:rPr>
              <w:sym w:font="Wingdings 2" w:char="0052"/>
            </w:r>
            <w:r>
              <w:rPr>
                <w:rFonts w:hint="eastAsia"/>
                <w:sz w:val="24"/>
                <w:szCs w:val="24"/>
              </w:rPr>
              <w:t>无）2、枯水期水面宽度（</w:t>
            </w:r>
            <w:r>
              <w:rPr>
                <w:rFonts w:hint="eastAsia" w:ascii="宋体" w:hAnsi="宋体"/>
                <w:sz w:val="24"/>
                <w:szCs w:val="24"/>
              </w:rPr>
              <w:t>□</w:t>
            </w:r>
            <w:r>
              <w:rPr>
                <w:rFonts w:hint="eastAsia"/>
                <w:sz w:val="24"/>
                <w:szCs w:val="24"/>
              </w:rPr>
              <w:t>不小于</w:t>
            </w:r>
            <w:r>
              <w:rPr>
                <w:rFonts w:hint="eastAsia" w:ascii="宋体" w:hAnsi="宋体"/>
                <w:sz w:val="24"/>
                <w:szCs w:val="24"/>
              </w:rPr>
              <w:sym w:font="Wingdings 2" w:char="0052"/>
            </w:r>
            <w:r>
              <w:rPr>
                <w:rFonts w:hint="eastAsia"/>
                <w:sz w:val="24"/>
                <w:szCs w:val="24"/>
              </w:rPr>
              <w:t>小于）500米、</w:t>
            </w:r>
            <w:r>
              <w:rPr>
                <w:rFonts w:hint="eastAsia" w:ascii="宋体" w:hAnsi="宋体"/>
                <w:sz w:val="24"/>
                <w:szCs w:val="24"/>
              </w:rPr>
              <w:t>3</w:t>
            </w:r>
            <w:r>
              <w:rPr>
                <w:rFonts w:hint="eastAsia"/>
                <w:sz w:val="24"/>
                <w:szCs w:val="24"/>
              </w:rPr>
              <w:t>航道（</w:t>
            </w:r>
            <w:r>
              <w:rPr>
                <w:rFonts w:hint="eastAsia" w:ascii="宋体" w:hAnsi="宋体"/>
                <w:sz w:val="24"/>
                <w:szCs w:val="24"/>
              </w:rPr>
              <w:t>□</w:t>
            </w:r>
            <w:r>
              <w:rPr>
                <w:rFonts w:hint="eastAsia"/>
                <w:sz w:val="24"/>
                <w:szCs w:val="24"/>
              </w:rPr>
              <w:t>有</w:t>
            </w:r>
            <w:r>
              <w:rPr>
                <w:rFonts w:hint="eastAsia" w:ascii="宋体" w:hAnsi="宋体"/>
                <w:sz w:val="24"/>
                <w:szCs w:val="24"/>
              </w:rPr>
              <w:sym w:font="Wingdings 2" w:char="0052"/>
            </w:r>
            <w:r>
              <w:rPr>
                <w:rFonts w:hint="eastAsia"/>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66" w:type="dxa"/>
            <w:vMerge w:val="continue"/>
            <w:noWrap w:val="0"/>
            <w:vAlign w:val="center"/>
          </w:tcPr>
          <w:p>
            <w:pPr>
              <w:pStyle w:val="16"/>
              <w:rPr>
                <w:rFonts w:hint="eastAsia"/>
                <w:sz w:val="24"/>
                <w:szCs w:val="24"/>
              </w:rPr>
            </w:pPr>
          </w:p>
        </w:tc>
        <w:tc>
          <w:tcPr>
            <w:tcW w:w="1231" w:type="dxa"/>
            <w:gridSpan w:val="6"/>
            <w:noWrap w:val="0"/>
            <w:vAlign w:val="center"/>
          </w:tcPr>
          <w:p>
            <w:pPr>
              <w:pStyle w:val="16"/>
              <w:rPr>
                <w:rFonts w:hint="eastAsia" w:ascii="宋体" w:hAnsi="宋体"/>
                <w:sz w:val="24"/>
                <w:szCs w:val="24"/>
              </w:rPr>
            </w:pPr>
            <w:r>
              <w:rPr>
                <w:rFonts w:hint="eastAsia" w:ascii="宋体" w:hAnsi="宋体"/>
                <w:sz w:val="24"/>
                <w:szCs w:val="24"/>
              </w:rPr>
              <w:sym w:font="Wingdings 2" w:char="00A3"/>
            </w:r>
            <w:r>
              <w:rPr>
                <w:rFonts w:hint="eastAsia"/>
                <w:sz w:val="24"/>
                <w:szCs w:val="24"/>
              </w:rPr>
              <w:t>水库</w:t>
            </w:r>
          </w:p>
        </w:tc>
        <w:tc>
          <w:tcPr>
            <w:tcW w:w="6350" w:type="dxa"/>
            <w:gridSpan w:val="17"/>
            <w:noWrap w:val="0"/>
            <w:vAlign w:val="center"/>
          </w:tcPr>
          <w:p>
            <w:pPr>
              <w:pStyle w:val="16"/>
              <w:jc w:val="left"/>
              <w:rPr>
                <w:rFonts w:hint="eastAsia" w:ascii="宋体" w:hAnsi="宋体"/>
                <w:sz w:val="24"/>
                <w:szCs w:val="24"/>
              </w:rPr>
            </w:pPr>
            <w:r>
              <w:rPr>
                <w:rFonts w:hint="eastAsia" w:ascii="宋体" w:hAnsi="宋体"/>
                <w:sz w:val="24"/>
                <w:szCs w:val="24"/>
              </w:rPr>
              <w:sym w:font="Wingdings 2" w:char="00A3"/>
            </w:r>
            <w:r>
              <w:rPr>
                <w:rFonts w:hint="eastAsia"/>
                <w:sz w:val="24"/>
                <w:szCs w:val="24"/>
              </w:rPr>
              <w:t>小型、</w:t>
            </w:r>
            <w:r>
              <w:rPr>
                <w:rFonts w:hint="eastAsia" w:ascii="宋体" w:hAnsi="宋体"/>
                <w:sz w:val="24"/>
                <w:szCs w:val="24"/>
              </w:rPr>
              <w:t>□</w:t>
            </w:r>
            <w:r>
              <w:rPr>
                <w:rFonts w:hint="eastAsia"/>
                <w:sz w:val="24"/>
                <w:szCs w:val="24"/>
              </w:rPr>
              <w:t>中型、</w:t>
            </w:r>
            <w:r>
              <w:rPr>
                <w:rFonts w:hint="eastAsia" w:ascii="宋体" w:hAnsi="宋体"/>
                <w:sz w:val="24"/>
                <w:szCs w:val="24"/>
              </w:rPr>
              <w:t>□</w:t>
            </w:r>
            <w:r>
              <w:rPr>
                <w:rFonts w:hint="eastAsia"/>
                <w:sz w:val="24"/>
                <w:szCs w:val="24"/>
              </w:rPr>
              <w:t>大型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66" w:type="dxa"/>
            <w:vMerge w:val="continue"/>
            <w:noWrap w:val="0"/>
            <w:vAlign w:val="center"/>
          </w:tcPr>
          <w:p>
            <w:pPr>
              <w:pStyle w:val="16"/>
              <w:rPr>
                <w:rFonts w:hint="eastAsia"/>
                <w:sz w:val="24"/>
                <w:szCs w:val="24"/>
              </w:rPr>
            </w:pPr>
          </w:p>
        </w:tc>
        <w:tc>
          <w:tcPr>
            <w:tcW w:w="1231" w:type="dxa"/>
            <w:gridSpan w:val="6"/>
            <w:noWrap w:val="0"/>
            <w:vAlign w:val="center"/>
          </w:tcPr>
          <w:p>
            <w:pPr>
              <w:pStyle w:val="16"/>
              <w:rPr>
                <w:rFonts w:hint="eastAsia" w:ascii="宋体" w:hAnsi="宋体"/>
                <w:sz w:val="24"/>
                <w:szCs w:val="24"/>
              </w:rPr>
            </w:pPr>
            <w:r>
              <w:rPr>
                <w:rFonts w:hint="eastAsia" w:ascii="宋体" w:hAnsi="宋体"/>
                <w:sz w:val="24"/>
                <w:szCs w:val="24"/>
              </w:rPr>
              <w:t>□</w:t>
            </w:r>
            <w:r>
              <w:rPr>
                <w:rFonts w:hint="eastAsia"/>
                <w:sz w:val="24"/>
                <w:szCs w:val="24"/>
              </w:rPr>
              <w:t>湖泊</w:t>
            </w:r>
          </w:p>
        </w:tc>
        <w:tc>
          <w:tcPr>
            <w:tcW w:w="6350" w:type="dxa"/>
            <w:gridSpan w:val="17"/>
            <w:noWrap w:val="0"/>
            <w:vAlign w:val="center"/>
          </w:tcPr>
          <w:p>
            <w:pPr>
              <w:pStyle w:val="16"/>
              <w:jc w:val="left"/>
              <w:rPr>
                <w:rFonts w:hint="eastAsia" w:ascii="宋体" w:hAnsi="宋体"/>
                <w:sz w:val="24"/>
                <w:szCs w:val="24"/>
              </w:rPr>
            </w:pPr>
            <w:r>
              <w:rPr>
                <w:rFonts w:hint="eastAsia" w:ascii="宋体" w:hAnsi="宋体"/>
                <w:sz w:val="24"/>
                <w:szCs w:val="24"/>
              </w:rPr>
              <w:t>□</w:t>
            </w:r>
            <w:r>
              <w:rPr>
                <w:rFonts w:hint="eastAsia"/>
                <w:sz w:val="24"/>
                <w:szCs w:val="24"/>
              </w:rPr>
              <w:t>小型、</w:t>
            </w:r>
            <w:r>
              <w:rPr>
                <w:rFonts w:hint="eastAsia" w:ascii="宋体" w:hAnsi="宋体"/>
                <w:sz w:val="24"/>
                <w:szCs w:val="24"/>
              </w:rPr>
              <w:t>□大</w:t>
            </w:r>
            <w:r>
              <w:rPr>
                <w:rFonts w:hint="eastAsia"/>
                <w:sz w:val="24"/>
                <w:szCs w:val="24"/>
              </w:rPr>
              <w:t>中型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66" w:type="dxa"/>
            <w:vMerge w:val="continue"/>
            <w:noWrap w:val="0"/>
            <w:vAlign w:val="center"/>
          </w:tcPr>
          <w:p>
            <w:pPr>
              <w:pStyle w:val="16"/>
              <w:rPr>
                <w:rFonts w:hint="eastAsia"/>
                <w:sz w:val="24"/>
                <w:szCs w:val="24"/>
              </w:rPr>
            </w:pPr>
          </w:p>
        </w:tc>
        <w:tc>
          <w:tcPr>
            <w:tcW w:w="1231" w:type="dxa"/>
            <w:gridSpan w:val="6"/>
            <w:noWrap w:val="0"/>
            <w:vAlign w:val="center"/>
          </w:tcPr>
          <w:p>
            <w:pPr>
              <w:pStyle w:val="16"/>
              <w:rPr>
                <w:rFonts w:hint="eastAsia" w:ascii="宋体" w:hAnsi="宋体"/>
                <w:sz w:val="24"/>
                <w:szCs w:val="24"/>
              </w:rPr>
            </w:pPr>
            <w:r>
              <w:rPr>
                <w:rFonts w:hint="eastAsia" w:ascii="宋体" w:hAnsi="宋体"/>
                <w:sz w:val="24"/>
                <w:szCs w:val="24"/>
              </w:rPr>
              <w:t>□</w:t>
            </w:r>
            <w:r>
              <w:rPr>
                <w:rFonts w:hint="eastAsia"/>
                <w:sz w:val="24"/>
                <w:szCs w:val="24"/>
              </w:rPr>
              <w:t>地下水</w:t>
            </w:r>
          </w:p>
        </w:tc>
        <w:tc>
          <w:tcPr>
            <w:tcW w:w="6350" w:type="dxa"/>
            <w:gridSpan w:val="17"/>
            <w:noWrap w:val="0"/>
            <w:vAlign w:val="center"/>
          </w:tcPr>
          <w:p>
            <w:pPr>
              <w:pStyle w:val="16"/>
              <w:jc w:val="left"/>
              <w:rPr>
                <w:rFonts w:hint="eastAsia" w:ascii="宋体" w:hAnsi="宋体"/>
                <w:sz w:val="24"/>
                <w:szCs w:val="24"/>
              </w:rPr>
            </w:pPr>
            <w:r>
              <w:rPr>
                <w:rFonts w:hint="eastAsia" w:ascii="宋体" w:hAnsi="宋体"/>
                <w:sz w:val="24"/>
                <w:szCs w:val="24"/>
              </w:rPr>
              <w:t>□</w:t>
            </w:r>
            <w:r>
              <w:rPr>
                <w:rFonts w:hint="eastAsia"/>
                <w:sz w:val="24"/>
                <w:szCs w:val="24"/>
              </w:rPr>
              <w:t>孔隙水、</w:t>
            </w:r>
            <w:r>
              <w:rPr>
                <w:rFonts w:hint="eastAsia" w:ascii="宋体" w:hAnsi="宋体"/>
                <w:sz w:val="24"/>
                <w:szCs w:val="24"/>
              </w:rPr>
              <w:t>□</w:t>
            </w:r>
            <w:r>
              <w:rPr>
                <w:rFonts w:hint="eastAsia"/>
                <w:sz w:val="24"/>
                <w:szCs w:val="24"/>
              </w:rPr>
              <w:t>基岩裂隙水、</w:t>
            </w:r>
            <w:r>
              <w:rPr>
                <w:rFonts w:hint="eastAsia" w:ascii="宋体" w:hAnsi="宋体"/>
                <w:sz w:val="24"/>
                <w:szCs w:val="24"/>
              </w:rPr>
              <w:t>□</w:t>
            </w:r>
            <w:r>
              <w:rPr>
                <w:rFonts w:hint="eastAsia"/>
                <w:sz w:val="24"/>
                <w:szCs w:val="24"/>
              </w:rPr>
              <w:t>岩溶水、</w:t>
            </w:r>
            <w:r>
              <w:rPr>
                <w:rFonts w:hint="eastAsia" w:ascii="宋体" w:hAnsi="宋体"/>
                <w:sz w:val="24"/>
                <w:szCs w:val="24"/>
              </w:rPr>
              <w:t>□</w:t>
            </w:r>
            <w:r>
              <w:rPr>
                <w:rFonts w:hint="eastAsia"/>
                <w:sz w:val="24"/>
                <w:szCs w:val="24"/>
              </w:rPr>
              <w:t>潜水、</w:t>
            </w:r>
            <w:r>
              <w:rPr>
                <w:rFonts w:hint="eastAsia" w:ascii="宋体" w:hAnsi="宋体"/>
                <w:sz w:val="24"/>
                <w:szCs w:val="24"/>
              </w:rPr>
              <w:t>□</w:t>
            </w:r>
            <w:r>
              <w:rPr>
                <w:rFonts w:hint="eastAsia"/>
                <w:sz w:val="24"/>
                <w:szCs w:val="24"/>
              </w:rPr>
              <w:t>承压水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66" w:type="dxa"/>
            <w:vMerge w:val="continue"/>
            <w:noWrap w:val="0"/>
            <w:vAlign w:val="center"/>
          </w:tcPr>
          <w:p>
            <w:pPr>
              <w:pStyle w:val="16"/>
              <w:rPr>
                <w:rFonts w:hint="eastAsia"/>
                <w:sz w:val="24"/>
                <w:szCs w:val="24"/>
              </w:rPr>
            </w:pPr>
          </w:p>
        </w:tc>
        <w:tc>
          <w:tcPr>
            <w:tcW w:w="2130" w:type="dxa"/>
            <w:gridSpan w:val="8"/>
            <w:noWrap w:val="0"/>
            <w:vAlign w:val="center"/>
          </w:tcPr>
          <w:p>
            <w:pPr>
              <w:pStyle w:val="16"/>
              <w:jc w:val="center"/>
              <w:rPr>
                <w:rFonts w:hint="eastAsia" w:ascii="宋体" w:hAnsi="宋体"/>
                <w:sz w:val="24"/>
                <w:szCs w:val="24"/>
              </w:rPr>
            </w:pPr>
            <w:r>
              <w:rPr>
                <w:rFonts w:hint="eastAsia" w:ascii="宋体" w:hAnsi="宋体"/>
                <w:sz w:val="24"/>
                <w:szCs w:val="24"/>
              </w:rPr>
              <w:t>□单井</w:t>
            </w:r>
          </w:p>
        </w:tc>
        <w:tc>
          <w:tcPr>
            <w:tcW w:w="2386" w:type="dxa"/>
            <w:gridSpan w:val="8"/>
            <w:noWrap w:val="0"/>
            <w:vAlign w:val="center"/>
          </w:tcPr>
          <w:p>
            <w:pPr>
              <w:pStyle w:val="16"/>
              <w:jc w:val="center"/>
              <w:rPr>
                <w:rFonts w:hint="eastAsia" w:ascii="宋体" w:hAnsi="宋体"/>
                <w:sz w:val="24"/>
                <w:szCs w:val="24"/>
              </w:rPr>
            </w:pPr>
            <w:r>
              <w:rPr>
                <w:rFonts w:hint="eastAsia" w:ascii="宋体" w:hAnsi="宋体"/>
                <w:sz w:val="24"/>
                <w:szCs w:val="24"/>
              </w:rPr>
              <w:t>□井群</w:t>
            </w:r>
          </w:p>
        </w:tc>
        <w:tc>
          <w:tcPr>
            <w:tcW w:w="3065" w:type="dxa"/>
            <w:gridSpan w:val="7"/>
            <w:noWrap w:val="0"/>
            <w:vAlign w:val="center"/>
          </w:tcPr>
          <w:p>
            <w:pPr>
              <w:pStyle w:val="16"/>
              <w:jc w:val="center"/>
              <w:rPr>
                <w:rFonts w:hint="eastAsia" w:ascii="宋体" w:hAnsi="宋体"/>
                <w:sz w:val="24"/>
                <w:szCs w:val="24"/>
              </w:rPr>
            </w:pPr>
            <w:r>
              <w:rPr>
                <w:rFonts w:hint="eastAsia" w:ascii="宋体" w:hAnsi="宋体"/>
                <w:sz w:val="24"/>
                <w:szCs w:val="24"/>
              </w:rPr>
              <w:t>□傍河水井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966" w:type="dxa"/>
            <w:noWrap w:val="0"/>
            <w:vAlign w:val="center"/>
          </w:tcPr>
          <w:p>
            <w:pPr>
              <w:pStyle w:val="16"/>
              <w:rPr>
                <w:rFonts w:hint="eastAsia"/>
                <w:b/>
                <w:bCs/>
                <w:sz w:val="24"/>
                <w:szCs w:val="24"/>
              </w:rPr>
            </w:pPr>
            <w:r>
              <w:rPr>
                <w:rFonts w:hint="eastAsia"/>
                <w:b/>
                <w:bCs/>
                <w:sz w:val="24"/>
                <w:szCs w:val="24"/>
              </w:rPr>
              <w:t>水域划分方法</w:t>
            </w:r>
          </w:p>
        </w:tc>
        <w:tc>
          <w:tcPr>
            <w:tcW w:w="1085" w:type="dxa"/>
            <w:gridSpan w:val="5"/>
            <w:noWrap w:val="0"/>
            <w:vAlign w:val="center"/>
          </w:tcPr>
          <w:p>
            <w:pPr>
              <w:pStyle w:val="16"/>
              <w:rPr>
                <w:rFonts w:hint="default" w:ascii="宋体" w:hAnsi="宋体" w:eastAsia="宋体"/>
                <w:sz w:val="24"/>
                <w:szCs w:val="24"/>
                <w:lang w:val="en-US" w:eastAsia="zh-CN"/>
              </w:rPr>
            </w:pPr>
            <w:r>
              <w:rPr>
                <w:rFonts w:hint="eastAsia" w:ascii="宋体" w:hAnsi="宋体"/>
                <w:sz w:val="24"/>
                <w:szCs w:val="24"/>
                <w:lang w:val="en-US" w:eastAsia="zh-CN"/>
              </w:rPr>
              <w:t>类比经验法</w:t>
            </w:r>
          </w:p>
        </w:tc>
        <w:tc>
          <w:tcPr>
            <w:tcW w:w="1045" w:type="dxa"/>
            <w:gridSpan w:val="3"/>
            <w:noWrap w:val="0"/>
            <w:vAlign w:val="center"/>
          </w:tcPr>
          <w:p>
            <w:pPr>
              <w:pStyle w:val="16"/>
              <w:rPr>
                <w:rFonts w:hint="eastAsia" w:ascii="宋体" w:hAnsi="宋体"/>
                <w:b/>
                <w:bCs/>
                <w:sz w:val="24"/>
                <w:szCs w:val="24"/>
              </w:rPr>
            </w:pPr>
            <w:r>
              <w:rPr>
                <w:rFonts w:hint="eastAsia" w:ascii="宋体" w:hAnsi="宋体"/>
                <w:b/>
                <w:bCs/>
                <w:sz w:val="24"/>
                <w:szCs w:val="24"/>
              </w:rPr>
              <w:t>陆域划分方法</w:t>
            </w:r>
          </w:p>
        </w:tc>
        <w:tc>
          <w:tcPr>
            <w:tcW w:w="2386" w:type="dxa"/>
            <w:gridSpan w:val="8"/>
            <w:noWrap w:val="0"/>
            <w:vAlign w:val="center"/>
          </w:tcPr>
          <w:p>
            <w:pPr>
              <w:pStyle w:val="16"/>
              <w:jc w:val="center"/>
              <w:rPr>
                <w:rFonts w:hint="eastAsia" w:ascii="宋体" w:hAnsi="宋体"/>
                <w:sz w:val="24"/>
                <w:szCs w:val="24"/>
              </w:rPr>
            </w:pPr>
            <w:r>
              <w:rPr>
                <w:rFonts w:hint="eastAsia" w:ascii="宋体" w:hAnsi="宋体"/>
                <w:sz w:val="24"/>
                <w:szCs w:val="24"/>
                <w:lang w:val="en-US" w:eastAsia="zh-CN"/>
              </w:rPr>
              <w:t>类比经验法</w:t>
            </w:r>
          </w:p>
        </w:tc>
        <w:tc>
          <w:tcPr>
            <w:tcW w:w="1317" w:type="dxa"/>
            <w:gridSpan w:val="5"/>
            <w:noWrap w:val="0"/>
            <w:vAlign w:val="center"/>
          </w:tcPr>
          <w:p>
            <w:pPr>
              <w:pStyle w:val="16"/>
              <w:jc w:val="left"/>
              <w:rPr>
                <w:rFonts w:hint="eastAsia" w:ascii="宋体" w:hAnsi="宋体"/>
                <w:b/>
                <w:bCs/>
                <w:sz w:val="24"/>
                <w:szCs w:val="24"/>
              </w:rPr>
            </w:pPr>
            <w:r>
              <w:rPr>
                <w:rFonts w:hint="eastAsia" w:ascii="宋体" w:hAnsi="宋体"/>
                <w:b/>
                <w:bCs/>
                <w:sz w:val="24"/>
                <w:szCs w:val="24"/>
              </w:rPr>
              <w:t>地下水划分方法</w:t>
            </w:r>
          </w:p>
        </w:tc>
        <w:tc>
          <w:tcPr>
            <w:tcW w:w="1748" w:type="dxa"/>
            <w:gridSpan w:val="2"/>
            <w:noWrap w:val="0"/>
            <w:vAlign w:val="center"/>
          </w:tcPr>
          <w:p>
            <w:pPr>
              <w:pStyle w:val="16"/>
              <w:jc w:val="center"/>
              <w:rPr>
                <w:rFonts w:hint="eastAsia" w:ascii="宋体" w:hAnsi="宋体" w:eastAsia="宋体"/>
                <w:sz w:val="24"/>
                <w:szCs w:val="24"/>
                <w:lang w:val="en-US" w:eastAsia="zh-CN"/>
              </w:rPr>
            </w:pPr>
            <w:r>
              <w:rPr>
                <w:rFonts w:hint="eastAsia" w:ascii="宋体" w:hAnsi="宋体"/>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8" w:hRule="exact"/>
          <w:jc w:val="center"/>
        </w:trPr>
        <w:tc>
          <w:tcPr>
            <w:tcW w:w="966" w:type="dxa"/>
            <w:vMerge w:val="restart"/>
            <w:noWrap w:val="0"/>
            <w:vAlign w:val="center"/>
          </w:tcPr>
          <w:p>
            <w:pPr>
              <w:pStyle w:val="16"/>
              <w:rPr>
                <w:rFonts w:hint="eastAsia"/>
                <w:b/>
                <w:bCs/>
                <w:sz w:val="24"/>
                <w:szCs w:val="24"/>
              </w:rPr>
            </w:pPr>
            <w:r>
              <w:rPr>
                <w:rFonts w:hint="eastAsia"/>
                <w:b/>
                <w:bCs/>
                <w:sz w:val="24"/>
                <w:szCs w:val="24"/>
              </w:rPr>
              <w:t>保护区划分方案</w:t>
            </w:r>
          </w:p>
        </w:tc>
        <w:tc>
          <w:tcPr>
            <w:tcW w:w="1231" w:type="dxa"/>
            <w:gridSpan w:val="6"/>
            <w:noWrap w:val="0"/>
            <w:vAlign w:val="center"/>
          </w:tcPr>
          <w:p>
            <w:pPr>
              <w:pStyle w:val="16"/>
              <w:jc w:val="center"/>
              <w:rPr>
                <w:rFonts w:hint="eastAsia" w:ascii="宋体" w:hAnsi="宋体"/>
                <w:b/>
                <w:bCs/>
                <w:sz w:val="24"/>
                <w:szCs w:val="24"/>
              </w:rPr>
            </w:pPr>
            <w:r>
              <w:rPr>
                <w:rFonts w:hint="eastAsia" w:ascii="宋体" w:hAnsi="宋体"/>
                <w:b/>
                <w:bCs/>
                <w:sz w:val="24"/>
                <w:szCs w:val="24"/>
              </w:rPr>
              <w:t>一级水域</w:t>
            </w:r>
          </w:p>
        </w:tc>
        <w:tc>
          <w:tcPr>
            <w:tcW w:w="1955" w:type="dxa"/>
            <w:gridSpan w:val="6"/>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color w:val="auto"/>
                <w:kern w:val="0"/>
                <w:sz w:val="24"/>
                <w:szCs w:val="24"/>
                <w:lang w:val="en-US" w:eastAsia="zh-CN"/>
              </w:rPr>
              <w:t>取水口（拦水坝）上溯330米的山溪水水域。</w:t>
            </w:r>
          </w:p>
        </w:tc>
        <w:tc>
          <w:tcPr>
            <w:tcW w:w="1330" w:type="dxa"/>
            <w:gridSpan w:val="4"/>
            <w:noWrap w:val="0"/>
            <w:vAlign w:val="center"/>
          </w:tcPr>
          <w:p>
            <w:pPr>
              <w:pStyle w:val="16"/>
              <w:keepNext w:val="0"/>
              <w:keepLines w:val="0"/>
              <w:pageBreakBefore w:val="0"/>
              <w:kinsoku/>
              <w:wordWrap/>
              <w:overflowPunct/>
              <w:topLinePunct w:val="0"/>
              <w:autoSpaceDE/>
              <w:autoSpaceDN/>
              <w:bidi w:val="0"/>
              <w:adjustRightInd/>
              <w:snapToGrid/>
              <w:spacing w:line="360" w:lineRule="auto"/>
              <w:jc w:val="center"/>
              <w:rPr>
                <w:rFonts w:hint="eastAsia" w:ascii="宋体" w:hAnsi="宋体"/>
                <w:b/>
                <w:bCs/>
                <w:sz w:val="24"/>
                <w:szCs w:val="24"/>
              </w:rPr>
            </w:pPr>
            <w:r>
              <w:rPr>
                <w:rFonts w:hint="eastAsia" w:ascii="宋体" w:hAnsi="宋体"/>
                <w:b/>
                <w:bCs/>
                <w:sz w:val="24"/>
                <w:szCs w:val="24"/>
              </w:rPr>
              <w:t>一级陆域</w:t>
            </w:r>
          </w:p>
        </w:tc>
        <w:tc>
          <w:tcPr>
            <w:tcW w:w="3065" w:type="dxa"/>
            <w:gridSpan w:val="7"/>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sz w:val="24"/>
                <w:szCs w:val="24"/>
                <w:lang w:eastAsia="zh-CN"/>
              </w:rPr>
            </w:pPr>
            <w:r>
              <w:rPr>
                <w:rFonts w:hint="eastAsia" w:ascii="宋体" w:hAnsi="宋体" w:eastAsia="宋体" w:cs="宋体"/>
                <w:color w:val="auto"/>
                <w:kern w:val="0"/>
                <w:sz w:val="24"/>
                <w:szCs w:val="24"/>
                <w:lang w:val="en-US" w:eastAsia="zh-CN"/>
              </w:rPr>
              <w:t>一级保护区水域边界沿岸纵深10米。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8" w:hRule="exact"/>
          <w:jc w:val="center"/>
        </w:trPr>
        <w:tc>
          <w:tcPr>
            <w:tcW w:w="966" w:type="dxa"/>
            <w:vMerge w:val="continue"/>
            <w:noWrap w:val="0"/>
            <w:vAlign w:val="center"/>
          </w:tcPr>
          <w:p>
            <w:pPr>
              <w:pStyle w:val="16"/>
              <w:rPr>
                <w:rFonts w:hint="eastAsia"/>
                <w:b/>
                <w:bCs/>
                <w:sz w:val="24"/>
                <w:szCs w:val="24"/>
              </w:rPr>
            </w:pPr>
          </w:p>
        </w:tc>
        <w:tc>
          <w:tcPr>
            <w:tcW w:w="1231" w:type="dxa"/>
            <w:gridSpan w:val="6"/>
            <w:noWrap w:val="0"/>
            <w:vAlign w:val="center"/>
          </w:tcPr>
          <w:p>
            <w:pPr>
              <w:pStyle w:val="16"/>
              <w:jc w:val="center"/>
              <w:rPr>
                <w:rFonts w:hint="eastAsia" w:ascii="宋体" w:hAnsi="宋体"/>
                <w:b/>
                <w:bCs/>
                <w:sz w:val="24"/>
                <w:szCs w:val="24"/>
              </w:rPr>
            </w:pPr>
            <w:r>
              <w:rPr>
                <w:rFonts w:hint="eastAsia" w:ascii="宋体" w:hAnsi="宋体"/>
                <w:b/>
                <w:bCs/>
                <w:sz w:val="24"/>
                <w:szCs w:val="24"/>
              </w:rPr>
              <w:t>二级水域</w:t>
            </w:r>
          </w:p>
        </w:tc>
        <w:tc>
          <w:tcPr>
            <w:tcW w:w="1955" w:type="dxa"/>
            <w:gridSpan w:val="6"/>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sz w:val="24"/>
                <w:szCs w:val="24"/>
                <w:lang w:val="en-US" w:eastAsia="zh-CN"/>
              </w:rPr>
            </w:pPr>
            <w:r>
              <w:rPr>
                <w:rFonts w:hint="eastAsia" w:ascii="宋体" w:hAnsi="宋体" w:eastAsia="宋体" w:cs="宋体"/>
                <w:color w:val="auto"/>
                <w:kern w:val="0"/>
                <w:sz w:val="24"/>
                <w:szCs w:val="24"/>
                <w:lang w:val="en-US" w:eastAsia="zh-CN"/>
              </w:rPr>
              <w:t>一级保护区上边界上溯670米的溪流水域。</w:t>
            </w:r>
          </w:p>
        </w:tc>
        <w:tc>
          <w:tcPr>
            <w:tcW w:w="1330" w:type="dxa"/>
            <w:gridSpan w:val="4"/>
            <w:noWrap w:val="0"/>
            <w:vAlign w:val="center"/>
          </w:tcPr>
          <w:p>
            <w:pPr>
              <w:pStyle w:val="16"/>
              <w:keepNext w:val="0"/>
              <w:keepLines w:val="0"/>
              <w:pageBreakBefore w:val="0"/>
              <w:kinsoku/>
              <w:wordWrap/>
              <w:overflowPunct/>
              <w:topLinePunct w:val="0"/>
              <w:autoSpaceDE/>
              <w:autoSpaceDN/>
              <w:bidi w:val="0"/>
              <w:adjustRightInd/>
              <w:snapToGrid/>
              <w:spacing w:line="360" w:lineRule="auto"/>
              <w:jc w:val="center"/>
              <w:rPr>
                <w:rFonts w:hint="eastAsia" w:ascii="宋体" w:hAnsi="宋体"/>
                <w:b/>
                <w:bCs/>
                <w:sz w:val="24"/>
                <w:szCs w:val="24"/>
              </w:rPr>
            </w:pPr>
            <w:r>
              <w:rPr>
                <w:rFonts w:hint="eastAsia" w:ascii="宋体" w:hAnsi="宋体"/>
                <w:b/>
                <w:bCs/>
                <w:sz w:val="24"/>
                <w:szCs w:val="24"/>
              </w:rPr>
              <w:t>二级陆域</w:t>
            </w:r>
          </w:p>
        </w:tc>
        <w:tc>
          <w:tcPr>
            <w:tcW w:w="3065" w:type="dxa"/>
            <w:gridSpan w:val="7"/>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sz w:val="24"/>
                <w:szCs w:val="24"/>
                <w:lang w:eastAsia="zh-CN"/>
              </w:rPr>
            </w:pPr>
            <w:r>
              <w:rPr>
                <w:rFonts w:hint="eastAsia" w:ascii="宋体" w:hAnsi="宋体" w:eastAsia="宋体" w:cs="宋体"/>
                <w:color w:val="auto"/>
                <w:kern w:val="0"/>
                <w:sz w:val="24"/>
                <w:szCs w:val="24"/>
                <w:lang w:val="en-US" w:eastAsia="zh-CN"/>
              </w:rPr>
              <w:t>一、二级保护区水域边界沿岸纵深50米，不超过两侧山脊线（一级保护区除外）。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966" w:type="dxa"/>
            <w:vMerge w:val="continue"/>
            <w:noWrap w:val="0"/>
            <w:vAlign w:val="center"/>
          </w:tcPr>
          <w:p>
            <w:pPr>
              <w:pStyle w:val="16"/>
              <w:rPr>
                <w:rFonts w:hint="eastAsia"/>
                <w:b/>
                <w:bCs/>
                <w:sz w:val="24"/>
                <w:szCs w:val="24"/>
              </w:rPr>
            </w:pPr>
          </w:p>
        </w:tc>
        <w:tc>
          <w:tcPr>
            <w:tcW w:w="1231" w:type="dxa"/>
            <w:gridSpan w:val="6"/>
            <w:noWrap w:val="0"/>
            <w:vAlign w:val="center"/>
          </w:tcPr>
          <w:p>
            <w:pPr>
              <w:pStyle w:val="16"/>
              <w:jc w:val="center"/>
              <w:rPr>
                <w:rFonts w:hint="eastAsia" w:ascii="宋体" w:hAnsi="宋体"/>
                <w:b/>
                <w:bCs/>
                <w:sz w:val="24"/>
                <w:szCs w:val="24"/>
              </w:rPr>
            </w:pPr>
            <w:r>
              <w:rPr>
                <w:rFonts w:hint="eastAsia" w:ascii="宋体" w:hAnsi="宋体"/>
                <w:b/>
                <w:bCs/>
                <w:sz w:val="24"/>
                <w:szCs w:val="24"/>
              </w:rPr>
              <w:t>准保护区水域</w:t>
            </w:r>
          </w:p>
        </w:tc>
        <w:tc>
          <w:tcPr>
            <w:tcW w:w="1955" w:type="dxa"/>
            <w:gridSpan w:val="6"/>
            <w:noWrap w:val="0"/>
            <w:vAlign w:val="center"/>
          </w:tcPr>
          <w:p>
            <w:pPr>
              <w:pStyle w:val="16"/>
              <w:jc w:val="center"/>
              <w:rPr>
                <w:rFonts w:hint="eastAsia" w:ascii="宋体" w:hAnsi="宋体" w:eastAsia="宋体"/>
                <w:sz w:val="24"/>
                <w:szCs w:val="24"/>
                <w:lang w:val="en-US" w:eastAsia="zh-CN"/>
              </w:rPr>
            </w:pPr>
            <w:r>
              <w:rPr>
                <w:rFonts w:hint="eastAsia" w:ascii="宋体" w:hAnsi="宋体"/>
                <w:sz w:val="24"/>
                <w:szCs w:val="24"/>
                <w:lang w:val="en-US" w:eastAsia="zh-CN"/>
              </w:rPr>
              <w:t>/</w:t>
            </w:r>
          </w:p>
        </w:tc>
        <w:tc>
          <w:tcPr>
            <w:tcW w:w="1330" w:type="dxa"/>
            <w:gridSpan w:val="4"/>
            <w:noWrap w:val="0"/>
            <w:vAlign w:val="center"/>
          </w:tcPr>
          <w:p>
            <w:pPr>
              <w:pStyle w:val="16"/>
              <w:jc w:val="center"/>
              <w:rPr>
                <w:rFonts w:hint="eastAsia" w:ascii="宋体" w:hAnsi="宋体"/>
                <w:b/>
                <w:bCs/>
                <w:sz w:val="24"/>
                <w:szCs w:val="24"/>
              </w:rPr>
            </w:pPr>
            <w:r>
              <w:rPr>
                <w:rFonts w:hint="eastAsia" w:ascii="宋体" w:hAnsi="宋体"/>
                <w:b/>
                <w:bCs/>
                <w:sz w:val="24"/>
                <w:szCs w:val="24"/>
              </w:rPr>
              <w:t>准保护区陆域</w:t>
            </w:r>
          </w:p>
        </w:tc>
        <w:tc>
          <w:tcPr>
            <w:tcW w:w="3065" w:type="dxa"/>
            <w:gridSpan w:val="7"/>
            <w:noWrap w:val="0"/>
            <w:vAlign w:val="center"/>
          </w:tcPr>
          <w:p>
            <w:pPr>
              <w:pStyle w:val="16"/>
              <w:jc w:val="center"/>
              <w:rPr>
                <w:rFonts w:hint="eastAsia" w:ascii="宋体" w:hAnsi="宋体" w:eastAsia="宋体"/>
                <w:sz w:val="24"/>
                <w:szCs w:val="24"/>
                <w:lang w:val="en-US" w:eastAsia="zh-CN"/>
              </w:rPr>
            </w:pPr>
            <w:r>
              <w:rPr>
                <w:rFonts w:hint="eastAsia" w:ascii="宋体" w:hAnsi="宋体"/>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966" w:type="dxa"/>
            <w:vMerge w:val="restart"/>
            <w:noWrap w:val="0"/>
            <w:vAlign w:val="center"/>
          </w:tcPr>
          <w:p>
            <w:pPr>
              <w:pStyle w:val="16"/>
              <w:rPr>
                <w:rFonts w:hint="eastAsia"/>
                <w:b/>
                <w:bCs/>
                <w:sz w:val="24"/>
                <w:szCs w:val="24"/>
              </w:rPr>
            </w:pPr>
            <w:r>
              <w:rPr>
                <w:rFonts w:hint="eastAsia"/>
                <w:b/>
                <w:bCs/>
                <w:sz w:val="24"/>
                <w:szCs w:val="24"/>
              </w:rPr>
              <w:t>保护区其他情况</w:t>
            </w:r>
          </w:p>
        </w:tc>
        <w:tc>
          <w:tcPr>
            <w:tcW w:w="2148" w:type="dxa"/>
            <w:gridSpan w:val="9"/>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支流汇入</w:t>
            </w:r>
          </w:p>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w:t>
            </w:r>
            <w:r>
              <w:rPr>
                <w:rFonts w:hint="eastAsia" w:ascii="宋体" w:hAnsi="宋体"/>
                <w:sz w:val="24"/>
                <w:szCs w:val="24"/>
              </w:rPr>
              <w:sym w:font="Wingdings 2" w:char="0052"/>
            </w:r>
            <w:r>
              <w:rPr>
                <w:rFonts w:hint="eastAsia" w:ascii="宋体" w:hAnsi="宋体"/>
                <w:sz w:val="24"/>
                <w:szCs w:val="24"/>
              </w:rPr>
              <w:t>有</w:t>
            </w:r>
            <w:r>
              <w:rPr>
                <w:rFonts w:hint="eastAsia" w:ascii="宋体" w:hAnsi="宋体"/>
                <w:sz w:val="24"/>
                <w:szCs w:val="24"/>
              </w:rPr>
              <w:sym w:font="Wingdings 2" w:char="00A3"/>
            </w:r>
            <w:r>
              <w:rPr>
                <w:rFonts w:hint="eastAsia" w:ascii="宋体" w:hAnsi="宋体"/>
                <w:sz w:val="24"/>
                <w:szCs w:val="24"/>
              </w:rPr>
              <w:t>无）</w:t>
            </w:r>
          </w:p>
        </w:tc>
        <w:tc>
          <w:tcPr>
            <w:tcW w:w="2649" w:type="dxa"/>
            <w:gridSpan w:val="9"/>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跨界</w:t>
            </w:r>
          </w:p>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w:t>
            </w:r>
            <w:r>
              <w:rPr>
                <w:rFonts w:hint="eastAsia" w:ascii="宋体" w:hAnsi="宋体"/>
                <w:sz w:val="24"/>
                <w:szCs w:val="24"/>
              </w:rPr>
              <w:sym w:font="Wingdings 2" w:char="00A3"/>
            </w:r>
            <w:r>
              <w:rPr>
                <w:rFonts w:hint="eastAsia" w:ascii="宋体" w:hAnsi="宋体"/>
                <w:sz w:val="24"/>
                <w:szCs w:val="24"/>
              </w:rPr>
              <w:t>有</w:t>
            </w:r>
            <w:r>
              <w:rPr>
                <w:rFonts w:hint="eastAsia" w:ascii="宋体" w:hAnsi="宋体"/>
                <w:sz w:val="24"/>
                <w:szCs w:val="24"/>
              </w:rPr>
              <w:sym w:font="Wingdings 2" w:char="0052"/>
            </w:r>
            <w:r>
              <w:rPr>
                <w:rFonts w:hint="eastAsia" w:ascii="宋体" w:hAnsi="宋体"/>
                <w:sz w:val="24"/>
                <w:szCs w:val="24"/>
              </w:rPr>
              <w:t>无）</w:t>
            </w:r>
          </w:p>
        </w:tc>
        <w:tc>
          <w:tcPr>
            <w:tcW w:w="2784" w:type="dxa"/>
            <w:gridSpan w:val="5"/>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输水渠道</w:t>
            </w:r>
          </w:p>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（□有</w:t>
            </w:r>
            <w:r>
              <w:rPr>
                <w:rFonts w:hint="eastAsia" w:ascii="宋体" w:hAnsi="宋体"/>
                <w:sz w:val="24"/>
                <w:szCs w:val="24"/>
              </w:rPr>
              <w:sym w:font="Wingdings 2" w:char="0052"/>
            </w:r>
            <w:r>
              <w:rPr>
                <w:rFonts w:hint="eastAsia" w:ascii="宋体" w:hAnsi="宋体"/>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966" w:type="dxa"/>
            <w:vMerge w:val="continue"/>
            <w:noWrap w:val="0"/>
            <w:vAlign w:val="center"/>
          </w:tcPr>
          <w:p>
            <w:pPr>
              <w:pStyle w:val="16"/>
              <w:rPr>
                <w:rFonts w:hint="eastAsia"/>
                <w:b/>
                <w:bCs/>
                <w:sz w:val="24"/>
                <w:szCs w:val="24"/>
              </w:rPr>
            </w:pPr>
          </w:p>
        </w:tc>
        <w:tc>
          <w:tcPr>
            <w:tcW w:w="2148" w:type="dxa"/>
            <w:gridSpan w:val="9"/>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自然保护区</w:t>
            </w:r>
          </w:p>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（□有</w:t>
            </w:r>
            <w:r>
              <w:rPr>
                <w:rFonts w:hint="eastAsia" w:ascii="宋体" w:hAnsi="宋体"/>
                <w:sz w:val="24"/>
                <w:szCs w:val="24"/>
              </w:rPr>
              <w:sym w:font="Wingdings 2" w:char="0052"/>
            </w:r>
            <w:r>
              <w:rPr>
                <w:rFonts w:hint="eastAsia" w:ascii="宋体" w:hAnsi="宋体"/>
                <w:sz w:val="24"/>
                <w:szCs w:val="24"/>
              </w:rPr>
              <w:t>无）</w:t>
            </w:r>
          </w:p>
        </w:tc>
        <w:tc>
          <w:tcPr>
            <w:tcW w:w="2649" w:type="dxa"/>
            <w:gridSpan w:val="9"/>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工业用地</w:t>
            </w:r>
          </w:p>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w:t>
            </w:r>
            <w:r>
              <w:rPr>
                <w:rFonts w:hint="eastAsia" w:ascii="宋体" w:hAnsi="宋体"/>
                <w:sz w:val="24"/>
                <w:szCs w:val="24"/>
              </w:rPr>
              <w:sym w:font="Wingdings 2" w:char="00A3"/>
            </w:r>
            <w:r>
              <w:rPr>
                <w:rFonts w:hint="eastAsia" w:ascii="宋体" w:hAnsi="宋体"/>
                <w:sz w:val="24"/>
                <w:szCs w:val="24"/>
              </w:rPr>
              <w:t>有</w:t>
            </w:r>
            <w:r>
              <w:rPr>
                <w:rFonts w:hint="eastAsia" w:ascii="宋体" w:hAnsi="宋体"/>
                <w:sz w:val="24"/>
                <w:szCs w:val="24"/>
              </w:rPr>
              <w:sym w:font="Wingdings 2" w:char="0052"/>
            </w:r>
            <w:r>
              <w:rPr>
                <w:rFonts w:hint="eastAsia" w:ascii="宋体" w:hAnsi="宋体"/>
                <w:sz w:val="24"/>
                <w:szCs w:val="24"/>
              </w:rPr>
              <w:t>无）</w:t>
            </w:r>
          </w:p>
        </w:tc>
        <w:tc>
          <w:tcPr>
            <w:tcW w:w="2784" w:type="dxa"/>
            <w:gridSpan w:val="5"/>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居住用地</w:t>
            </w:r>
          </w:p>
          <w:p>
            <w:pPr>
              <w:pStyle w:val="1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4"/>
                <w:szCs w:val="24"/>
              </w:rPr>
            </w:pPr>
            <w:r>
              <w:rPr>
                <w:rFonts w:hint="eastAsia" w:ascii="宋体" w:hAnsi="宋体"/>
                <w:sz w:val="24"/>
                <w:szCs w:val="24"/>
              </w:rPr>
              <w:t>（□有</w:t>
            </w:r>
            <w:r>
              <w:rPr>
                <w:rFonts w:hint="eastAsia" w:ascii="宋体" w:hAnsi="宋体"/>
                <w:sz w:val="24"/>
                <w:szCs w:val="24"/>
              </w:rPr>
              <w:sym w:font="Wingdings 2" w:char="0052"/>
            </w:r>
            <w:r>
              <w:rPr>
                <w:rFonts w:hint="eastAsia" w:ascii="宋体" w:hAnsi="宋体"/>
                <w:sz w:val="24"/>
                <w:szCs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6" w:type="dxa"/>
            <w:vMerge w:val="restart"/>
            <w:noWrap w:val="0"/>
            <w:vAlign w:val="center"/>
          </w:tcPr>
          <w:p>
            <w:pPr>
              <w:pStyle w:val="16"/>
              <w:rPr>
                <w:b/>
                <w:bCs/>
                <w:sz w:val="24"/>
                <w:szCs w:val="24"/>
              </w:rPr>
            </w:pPr>
            <w:r>
              <w:rPr>
                <w:rFonts w:hint="eastAsia"/>
                <w:b/>
                <w:bCs/>
                <w:sz w:val="24"/>
                <w:szCs w:val="24"/>
              </w:rPr>
              <w:t>保护区环境问题与整治措施</w:t>
            </w:r>
          </w:p>
        </w:tc>
        <w:tc>
          <w:tcPr>
            <w:tcW w:w="3468" w:type="dxa"/>
            <w:gridSpan w:val="13"/>
            <w:noWrap w:val="0"/>
            <w:vAlign w:val="center"/>
          </w:tcPr>
          <w:p>
            <w:pPr>
              <w:pStyle w:val="16"/>
              <w:rPr>
                <w:rFonts w:ascii="宋体" w:hAnsi="宋体"/>
                <w:b/>
                <w:bCs/>
                <w:sz w:val="24"/>
                <w:szCs w:val="24"/>
              </w:rPr>
            </w:pPr>
            <w:r>
              <w:rPr>
                <w:rFonts w:hint="eastAsia" w:ascii="宋体" w:hAnsi="宋体"/>
                <w:b/>
                <w:bCs/>
                <w:sz w:val="24"/>
                <w:szCs w:val="24"/>
              </w:rPr>
              <w:t>环境问题</w:t>
            </w:r>
          </w:p>
        </w:tc>
        <w:tc>
          <w:tcPr>
            <w:tcW w:w="4113" w:type="dxa"/>
            <w:gridSpan w:val="10"/>
            <w:noWrap w:val="0"/>
            <w:vAlign w:val="center"/>
          </w:tcPr>
          <w:p>
            <w:pPr>
              <w:pStyle w:val="16"/>
              <w:rPr>
                <w:rFonts w:ascii="宋体" w:hAnsi="宋体"/>
                <w:b/>
                <w:bCs/>
                <w:sz w:val="24"/>
                <w:szCs w:val="24"/>
              </w:rPr>
            </w:pPr>
            <w:r>
              <w:rPr>
                <w:rFonts w:hint="eastAsia" w:ascii="宋体" w:hAnsi="宋体"/>
                <w:b/>
                <w:bCs/>
                <w:sz w:val="24"/>
                <w:szCs w:val="24"/>
              </w:rPr>
              <w:t>整治措施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2" w:hRule="exact"/>
          <w:jc w:val="center"/>
        </w:trPr>
        <w:tc>
          <w:tcPr>
            <w:tcW w:w="966" w:type="dxa"/>
            <w:vMerge w:val="continue"/>
            <w:noWrap w:val="0"/>
            <w:vAlign w:val="center"/>
          </w:tcPr>
          <w:p>
            <w:pPr>
              <w:pStyle w:val="16"/>
              <w:rPr>
                <w:rFonts w:hint="eastAsia"/>
                <w:sz w:val="24"/>
                <w:szCs w:val="24"/>
              </w:rPr>
            </w:pPr>
          </w:p>
        </w:tc>
        <w:tc>
          <w:tcPr>
            <w:tcW w:w="884" w:type="dxa"/>
            <w:gridSpan w:val="4"/>
            <w:noWrap w:val="0"/>
            <w:vAlign w:val="center"/>
          </w:tcPr>
          <w:p>
            <w:pPr>
              <w:pStyle w:val="16"/>
              <w:rPr>
                <w:rFonts w:hint="eastAsia" w:ascii="宋体" w:hAnsi="宋体"/>
                <w:b/>
                <w:bCs/>
                <w:sz w:val="24"/>
                <w:szCs w:val="24"/>
              </w:rPr>
            </w:pPr>
            <w:r>
              <w:rPr>
                <w:rFonts w:hint="eastAsia" w:ascii="宋体" w:hAnsi="宋体"/>
                <w:b/>
                <w:bCs/>
                <w:sz w:val="24"/>
                <w:szCs w:val="24"/>
              </w:rPr>
              <w:t>一级</w:t>
            </w:r>
          </w:p>
        </w:tc>
        <w:tc>
          <w:tcPr>
            <w:tcW w:w="2584" w:type="dxa"/>
            <w:gridSpan w:val="9"/>
            <w:noWrap w:val="0"/>
            <w:vAlign w:val="center"/>
          </w:tcPr>
          <w:p>
            <w:pPr>
              <w:pStyle w:val="16"/>
              <w:rPr>
                <w:rFonts w:hint="default" w:ascii="Times New Roman" w:hAnsi="Times New Roman" w:eastAsia="宋体"/>
                <w:sz w:val="24"/>
                <w:szCs w:val="24"/>
                <w:lang w:val="en-US" w:eastAsia="zh-CN"/>
              </w:rPr>
            </w:pPr>
            <w:r>
              <w:rPr>
                <w:rFonts w:hint="eastAsia"/>
                <w:sz w:val="24"/>
                <w:szCs w:val="24"/>
                <w:lang w:val="en-US" w:eastAsia="zh-CN"/>
              </w:rPr>
              <w:t>无</w:t>
            </w:r>
          </w:p>
        </w:tc>
        <w:tc>
          <w:tcPr>
            <w:tcW w:w="925" w:type="dxa"/>
            <w:noWrap w:val="0"/>
            <w:vAlign w:val="center"/>
          </w:tcPr>
          <w:p>
            <w:pPr>
              <w:pStyle w:val="16"/>
              <w:rPr>
                <w:rFonts w:hint="eastAsia" w:ascii="Times New Roman" w:hAnsi="Times New Roman" w:eastAsia="宋体"/>
                <w:b/>
                <w:bCs/>
                <w:sz w:val="24"/>
                <w:szCs w:val="24"/>
              </w:rPr>
            </w:pPr>
            <w:r>
              <w:rPr>
                <w:rFonts w:hint="eastAsia" w:ascii="Times New Roman" w:hAnsi="Times New Roman" w:eastAsia="宋体"/>
                <w:b/>
                <w:bCs/>
                <w:sz w:val="24"/>
                <w:szCs w:val="24"/>
              </w:rPr>
              <w:t>一级</w:t>
            </w:r>
          </w:p>
        </w:tc>
        <w:tc>
          <w:tcPr>
            <w:tcW w:w="3188" w:type="dxa"/>
            <w:gridSpan w:val="9"/>
            <w:noWrap w:val="0"/>
            <w:vAlign w:val="center"/>
          </w:tcPr>
          <w:p>
            <w:pPr>
              <w:pStyle w:val="16"/>
              <w:rPr>
                <w:rFonts w:hint="default" w:ascii="Times New Roman" w:hAnsi="Times New Roman" w:eastAsia="宋体"/>
                <w:sz w:val="24"/>
                <w:szCs w:val="24"/>
                <w:lang w:val="en-US" w:eastAsia="zh-CN"/>
              </w:rPr>
            </w:pPr>
            <w:r>
              <w:rPr>
                <w:rFonts w:hint="eastAsia"/>
                <w:sz w:val="24"/>
                <w:szCs w:val="24"/>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0" w:hRule="exact"/>
          <w:jc w:val="center"/>
        </w:trPr>
        <w:tc>
          <w:tcPr>
            <w:tcW w:w="966" w:type="dxa"/>
            <w:noWrap w:val="0"/>
            <w:vAlign w:val="center"/>
          </w:tcPr>
          <w:p>
            <w:pPr>
              <w:pStyle w:val="16"/>
              <w:rPr>
                <w:rFonts w:hint="eastAsia"/>
                <w:sz w:val="24"/>
                <w:szCs w:val="24"/>
              </w:rPr>
            </w:pPr>
            <w:r>
              <w:rPr>
                <w:rFonts w:hint="eastAsia"/>
                <w:b/>
                <w:bCs/>
                <w:sz w:val="24"/>
                <w:szCs w:val="24"/>
              </w:rPr>
              <w:t>保护区环境问题与整治措施</w:t>
            </w:r>
          </w:p>
        </w:tc>
        <w:tc>
          <w:tcPr>
            <w:tcW w:w="884" w:type="dxa"/>
            <w:gridSpan w:val="4"/>
            <w:noWrap w:val="0"/>
            <w:vAlign w:val="center"/>
          </w:tcPr>
          <w:p>
            <w:pPr>
              <w:pStyle w:val="16"/>
              <w:rPr>
                <w:rFonts w:hint="eastAsia" w:ascii="宋体" w:hAnsi="宋体"/>
                <w:b/>
                <w:bCs/>
                <w:sz w:val="24"/>
                <w:szCs w:val="24"/>
              </w:rPr>
            </w:pPr>
            <w:r>
              <w:rPr>
                <w:rFonts w:hint="eastAsia" w:ascii="宋体" w:hAnsi="宋体"/>
                <w:b/>
                <w:bCs/>
                <w:sz w:val="24"/>
                <w:szCs w:val="24"/>
              </w:rPr>
              <w:t>二级</w:t>
            </w:r>
          </w:p>
        </w:tc>
        <w:tc>
          <w:tcPr>
            <w:tcW w:w="2584" w:type="dxa"/>
            <w:gridSpan w:val="9"/>
            <w:noWrap w:val="0"/>
            <w:vAlign w:val="center"/>
          </w:tcPr>
          <w:p>
            <w:pPr>
              <w:pStyle w:val="16"/>
              <w:rPr>
                <w:rFonts w:hint="default" w:ascii="Times New Roman" w:hAnsi="Times New Roman" w:eastAsia="宋体"/>
                <w:sz w:val="24"/>
                <w:szCs w:val="24"/>
                <w:lang w:val="en-US" w:eastAsia="zh-CN"/>
              </w:rPr>
            </w:pPr>
            <w:r>
              <w:rPr>
                <w:rFonts w:hint="eastAsia"/>
                <w:sz w:val="24"/>
                <w:szCs w:val="24"/>
                <w:lang w:val="en-US" w:eastAsia="zh-CN"/>
              </w:rPr>
              <w:t>530乡道横穿二级保护区</w:t>
            </w:r>
          </w:p>
        </w:tc>
        <w:tc>
          <w:tcPr>
            <w:tcW w:w="925" w:type="dxa"/>
            <w:noWrap w:val="0"/>
            <w:vAlign w:val="center"/>
          </w:tcPr>
          <w:p>
            <w:pPr>
              <w:pStyle w:val="16"/>
              <w:rPr>
                <w:rFonts w:hint="eastAsia" w:ascii="Times New Roman" w:hAnsi="Times New Roman" w:eastAsia="宋体"/>
                <w:b/>
                <w:bCs/>
                <w:sz w:val="24"/>
                <w:szCs w:val="24"/>
              </w:rPr>
            </w:pPr>
            <w:r>
              <w:rPr>
                <w:rFonts w:hint="eastAsia" w:ascii="Times New Roman" w:hAnsi="Times New Roman" w:eastAsia="宋体"/>
                <w:b/>
                <w:bCs/>
                <w:sz w:val="24"/>
                <w:szCs w:val="24"/>
              </w:rPr>
              <w:t>二级</w:t>
            </w:r>
          </w:p>
        </w:tc>
        <w:tc>
          <w:tcPr>
            <w:tcW w:w="3188" w:type="dxa"/>
            <w:gridSpan w:val="9"/>
            <w:noWrap w:val="0"/>
            <w:vAlign w:val="center"/>
          </w:tcPr>
          <w:p>
            <w:pPr>
              <w:pStyle w:val="16"/>
              <w:rPr>
                <w:rFonts w:hint="default" w:ascii="Times New Roman" w:hAnsi="Times New Roman" w:eastAsia="宋体"/>
                <w:sz w:val="24"/>
                <w:szCs w:val="24"/>
                <w:lang w:val="en-US" w:eastAsia="zh-CN"/>
              </w:rPr>
            </w:pPr>
            <w:r>
              <w:rPr>
                <w:rFonts w:hint="eastAsia"/>
                <w:sz w:val="24"/>
                <w:szCs w:val="24"/>
                <w:lang w:val="en-US" w:eastAsia="zh-CN"/>
              </w:rPr>
              <w:t>530乡道下边界有防护栏，但无法避免极天气下，道路冲刷的雨水流入保护区，因此保护区与道路相交处设置交通限速牌，警示牌和宣传牌。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5" w:hRule="atLeast"/>
          <w:jc w:val="center"/>
        </w:trPr>
        <w:tc>
          <w:tcPr>
            <w:tcW w:w="1070" w:type="dxa"/>
            <w:gridSpan w:val="2"/>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水质水量可达性分析</w:t>
            </w:r>
          </w:p>
        </w:tc>
        <w:tc>
          <w:tcPr>
            <w:tcW w:w="7477" w:type="dxa"/>
            <w:gridSpan w:val="22"/>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lang w:val="en-US" w:eastAsia="zh-CN"/>
              </w:rPr>
            </w:pPr>
            <w:r>
              <w:rPr>
                <w:rFonts w:hint="eastAsia" w:ascii="Times New Roman" w:hAnsi="Times New Roman" w:eastAsia="宋体"/>
                <w:sz w:val="24"/>
                <w:szCs w:val="24"/>
                <w:lang w:val="en-US" w:eastAsia="zh-CN"/>
              </w:rPr>
              <w:t>水质可达性</w:t>
            </w:r>
            <w:r>
              <w:rPr>
                <w:rFonts w:hint="eastAsia"/>
                <w:sz w:val="24"/>
                <w:szCs w:val="24"/>
                <w:lang w:val="en-US" w:eastAsia="zh-CN"/>
              </w:rPr>
              <w:t>分析：桃江鸬鹚渡镇蒋家冲村夏家湾山溪水饮用水水源地经2023年06月19日取样监测，</w:t>
            </w:r>
            <w:r>
              <w:rPr>
                <w:rFonts w:hint="eastAsia" w:cs="Times New Roman"/>
                <w:sz w:val="24"/>
                <w:szCs w:val="24"/>
                <w:lang w:val="en-US" w:eastAsia="zh-CN"/>
              </w:rPr>
              <w:t>61项所测因子表1的基本项目（总共24项）除总氮不参与评价外，其余均满足《地表水环境质量标准》（GB3838-2002）表1中Ⅱ类标准限值；表2的补充项目（5项）和表3中的特定项目（33项）满足《地表水环境质量标准》（GB3838-2002）中表2、表3标准限值，水质可达。</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color w:val="auto"/>
                <w:sz w:val="24"/>
                <w:szCs w:val="24"/>
                <w:lang w:val="en-US" w:eastAsia="zh-CN"/>
              </w:rPr>
              <w:t>水量可达性分析</w:t>
            </w:r>
            <w:r>
              <w:rPr>
                <w:rFonts w:hint="eastAsia"/>
                <w:sz w:val="24"/>
                <w:szCs w:val="24"/>
                <w:lang w:val="en-US" w:eastAsia="zh-CN"/>
              </w:rPr>
              <w:t>：</w:t>
            </w:r>
            <w:r>
              <w:rPr>
                <w:rFonts w:hint="eastAsia"/>
                <w:b w:val="0"/>
                <w:bCs w:val="0"/>
                <w:color w:val="auto"/>
                <w:sz w:val="24"/>
                <w:szCs w:val="24"/>
                <w:lang w:val="en-US" w:eastAsia="zh-CN"/>
              </w:rPr>
              <w:t>根据益阳智诚环保科技有限公司编制夏家湾（夏家湾）水厂取水水资源论证报告表结论，结合</w:t>
            </w:r>
            <w:r>
              <w:rPr>
                <w:rFonts w:hint="eastAsia"/>
                <w:color w:val="auto"/>
                <w:sz w:val="24"/>
                <w:szCs w:val="24"/>
                <w:lang w:val="en-US" w:eastAsia="zh-CN"/>
              </w:rPr>
              <w:t>取水许可证分析，</w:t>
            </w:r>
            <w:r>
              <w:rPr>
                <w:rFonts w:hint="eastAsia" w:ascii="宋体" w:hAnsi="宋体" w:cs="宋体"/>
                <w:color w:val="auto"/>
                <w:kern w:val="0"/>
                <w:sz w:val="24"/>
                <w:szCs w:val="24"/>
                <w:lang w:val="en-US" w:eastAsia="zh-CN"/>
              </w:rPr>
              <w:t>桃江县鸬鹚渡镇蒋家冲村夏家湾水厂供水</w:t>
            </w:r>
            <w:r>
              <w:rPr>
                <w:rFonts w:hint="eastAsia"/>
                <w:color w:val="auto"/>
                <w:sz w:val="24"/>
                <w:szCs w:val="24"/>
                <w:lang w:val="en-US" w:eastAsia="zh-CN"/>
              </w:rPr>
              <w:t>主要用于</w:t>
            </w:r>
            <w:r>
              <w:rPr>
                <w:rFonts w:hint="eastAsia"/>
                <w:sz w:val="24"/>
                <w:szCs w:val="24"/>
                <w:highlight w:val="none"/>
                <w:lang w:val="en-US" w:eastAsia="zh-CN"/>
              </w:rPr>
              <w:t>蒋家村、铁家塅村、蒋家冲村、夏家湾、陆家湾</w:t>
            </w:r>
            <w:r>
              <w:rPr>
                <w:rFonts w:hint="eastAsia"/>
                <w:sz w:val="24"/>
                <w:szCs w:val="24"/>
                <w:lang w:val="en-US" w:eastAsia="zh-CN"/>
              </w:rPr>
              <w:t>村名小组</w:t>
            </w:r>
            <w:r>
              <w:rPr>
                <w:rFonts w:hint="eastAsia"/>
                <w:color w:val="auto"/>
                <w:sz w:val="24"/>
                <w:szCs w:val="24"/>
                <w:lang w:val="en-US" w:eastAsia="zh-CN"/>
              </w:rPr>
              <w:t>居民生活饮水，水量可满足需求。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dxa"/>
            <w:gridSpan w:val="2"/>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保护区与规划协调性分析</w:t>
            </w:r>
          </w:p>
        </w:tc>
        <w:tc>
          <w:tcPr>
            <w:tcW w:w="7477" w:type="dxa"/>
            <w:gridSpan w:val="22"/>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sz w:val="24"/>
                <w:szCs w:val="24"/>
              </w:rPr>
            </w:pPr>
            <w:r>
              <w:rPr>
                <w:rFonts w:hint="eastAsia" w:ascii="Times New Roman" w:hAnsi="Times New Roman" w:eastAsia="宋体"/>
                <w:sz w:val="24"/>
                <w:szCs w:val="24"/>
              </w:rPr>
              <w:t>根据《</w:t>
            </w:r>
            <w:r>
              <w:rPr>
                <w:rFonts w:hint="eastAsia"/>
                <w:sz w:val="24"/>
                <w:szCs w:val="24"/>
                <w:lang w:eastAsia="zh-CN"/>
              </w:rPr>
              <w:t>桃江</w:t>
            </w:r>
            <w:r>
              <w:rPr>
                <w:rFonts w:hint="eastAsia" w:ascii="Times New Roman" w:hAnsi="Times New Roman" w:eastAsia="宋体"/>
                <w:sz w:val="24"/>
                <w:szCs w:val="24"/>
              </w:rPr>
              <w:t>县土地利用总体规划（2006-2020年）》可知，</w:t>
            </w:r>
            <w:r>
              <w:rPr>
                <w:rFonts w:hint="eastAsia" w:ascii="宋体" w:hAnsi="宋体" w:cs="宋体"/>
                <w:color w:val="auto"/>
                <w:kern w:val="0"/>
                <w:sz w:val="24"/>
                <w:szCs w:val="24"/>
                <w:lang w:val="en-US" w:eastAsia="zh-CN"/>
              </w:rPr>
              <w:t>桃江县鸬鹚渡镇蒋家冲村夏家湾山溪水饮用水水源保护区位于板溪国有林场，</w:t>
            </w:r>
            <w:r>
              <w:rPr>
                <w:rFonts w:hint="eastAsia"/>
                <w:sz w:val="24"/>
                <w:szCs w:val="24"/>
                <w:lang w:eastAsia="zh-CN"/>
              </w:rPr>
              <w:t>周边都是</w:t>
            </w:r>
            <w:r>
              <w:rPr>
                <w:rFonts w:hint="eastAsia" w:ascii="Times New Roman" w:hAnsi="Times New Roman" w:eastAsia="宋体"/>
                <w:sz w:val="24"/>
                <w:szCs w:val="24"/>
              </w:rPr>
              <w:t>林业用地区，</w:t>
            </w:r>
            <w:r>
              <w:rPr>
                <w:rFonts w:hint="eastAsia" w:ascii="宋体" w:hAnsi="宋体" w:cs="宋体"/>
                <w:color w:val="auto"/>
                <w:kern w:val="0"/>
                <w:sz w:val="24"/>
                <w:szCs w:val="24"/>
                <w:lang w:val="en-US" w:eastAsia="zh-CN"/>
              </w:rPr>
              <w:t>桃江县鸬鹚渡镇蒋家冲村夏家湾山溪水饮用水水源保护区划定与原有林业用地并不冲突，因此本</w:t>
            </w:r>
            <w:r>
              <w:rPr>
                <w:rFonts w:hint="eastAsia" w:ascii="Times New Roman" w:hAnsi="Times New Roman" w:eastAsia="宋体"/>
                <w:sz w:val="24"/>
                <w:szCs w:val="24"/>
              </w:rPr>
              <w:t>集中式饮用水水源保护区划分与《</w:t>
            </w:r>
            <w:r>
              <w:rPr>
                <w:rFonts w:hint="eastAsia"/>
                <w:sz w:val="24"/>
                <w:szCs w:val="24"/>
                <w:lang w:eastAsia="zh-CN"/>
              </w:rPr>
              <w:t>桃江</w:t>
            </w:r>
            <w:r>
              <w:rPr>
                <w:rFonts w:hint="eastAsia" w:ascii="Times New Roman" w:hAnsi="Times New Roman" w:eastAsia="宋体"/>
                <w:sz w:val="24"/>
                <w:szCs w:val="24"/>
              </w:rPr>
              <w:t>县土地利用总体规划（2006-2020年）》基本相符合。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1070" w:type="dxa"/>
            <w:gridSpan w:val="2"/>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保护区制约因素</w:t>
            </w:r>
          </w:p>
        </w:tc>
        <w:tc>
          <w:tcPr>
            <w:tcW w:w="7477" w:type="dxa"/>
            <w:gridSpan w:val="22"/>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sz w:val="24"/>
                <w:szCs w:val="24"/>
              </w:rPr>
            </w:pPr>
            <w:r>
              <w:rPr>
                <w:rFonts w:hint="eastAsia"/>
                <w:sz w:val="24"/>
                <w:szCs w:val="24"/>
                <w:lang w:val="en-US" w:eastAsia="zh-CN"/>
              </w:rPr>
              <w:t>530乡道横穿二级保护区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8" w:hRule="atLeast"/>
          <w:jc w:val="center"/>
        </w:trPr>
        <w:tc>
          <w:tcPr>
            <w:tcW w:w="1070" w:type="dxa"/>
            <w:gridSpan w:val="2"/>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textAlignment w:val="auto"/>
              <w:rPr>
                <w:b/>
                <w:bCs/>
                <w:sz w:val="24"/>
                <w:szCs w:val="24"/>
              </w:rPr>
            </w:pPr>
            <w:r>
              <w:rPr>
                <w:rFonts w:hint="eastAsia"/>
                <w:b/>
                <w:bCs/>
                <w:sz w:val="24"/>
                <w:szCs w:val="24"/>
              </w:rPr>
              <w:t>主要环境风险与防控措施</w:t>
            </w:r>
          </w:p>
        </w:tc>
        <w:tc>
          <w:tcPr>
            <w:tcW w:w="7477" w:type="dxa"/>
            <w:gridSpan w:val="22"/>
            <w:vMerge w:val="restart"/>
            <w:noWrap w:val="0"/>
            <w:vAlign w:val="center"/>
          </w:tcPr>
          <w:p>
            <w:pPr>
              <w:pStyle w:val="16"/>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sz w:val="24"/>
                <w:szCs w:val="24"/>
                <w:lang w:val="en-US" w:eastAsia="zh-CN"/>
              </w:rPr>
            </w:pPr>
            <w:r>
              <w:rPr>
                <w:rFonts w:hint="eastAsia"/>
                <w:b/>
                <w:bCs/>
                <w:sz w:val="24"/>
                <w:szCs w:val="24"/>
              </w:rPr>
              <w:t>主要环境风险</w:t>
            </w:r>
            <w:r>
              <w:rPr>
                <w:rFonts w:hint="eastAsia"/>
                <w:b/>
                <w:bCs/>
                <w:sz w:val="24"/>
                <w:szCs w:val="24"/>
                <w:lang w:val="en-US" w:eastAsia="zh-CN"/>
              </w:rPr>
              <w:t>:</w:t>
            </w:r>
          </w:p>
          <w:p>
            <w:pPr>
              <w:pStyle w:val="16"/>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03" w:firstLineChars="0"/>
              <w:jc w:val="left"/>
              <w:textAlignment w:val="auto"/>
              <w:rPr>
                <w:rFonts w:hint="eastAsia"/>
                <w:sz w:val="24"/>
                <w:szCs w:val="24"/>
                <w:lang w:val="en-US" w:eastAsia="zh-CN"/>
              </w:rPr>
            </w:pPr>
            <w:r>
              <w:rPr>
                <w:rFonts w:hint="eastAsia"/>
                <w:sz w:val="24"/>
                <w:szCs w:val="24"/>
                <w:lang w:val="en-US" w:eastAsia="zh-CN"/>
              </w:rPr>
              <w:t>取水口下游紧邻2亩左右农用菜地，西北侧180米左右为村民聚集院落，经现场走访，村民均有家禽散养，村名住户与取水口虽存在一定的高差，但不排除特殊情况下，散养的家禽可能会出现在水源保护区或水源集雨区，从而影响水源水质。</w:t>
            </w:r>
          </w:p>
          <w:p>
            <w:pPr>
              <w:pStyle w:val="16"/>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03" w:firstLineChars="0"/>
              <w:jc w:val="left"/>
              <w:textAlignment w:val="auto"/>
              <w:rPr>
                <w:rFonts w:hint="eastAsia"/>
                <w:sz w:val="24"/>
                <w:szCs w:val="24"/>
                <w:lang w:val="en-US" w:eastAsia="zh-CN"/>
              </w:rPr>
            </w:pPr>
            <w:r>
              <w:rPr>
                <w:rFonts w:hint="eastAsia"/>
                <w:sz w:val="24"/>
                <w:szCs w:val="24"/>
                <w:lang w:val="en-US" w:eastAsia="zh-CN"/>
              </w:rPr>
              <w:t>530乡道横穿二级保护区，存在一定的交通污染风险。</w:t>
            </w:r>
          </w:p>
          <w:p>
            <w:pPr>
              <w:pStyle w:val="16"/>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03" w:firstLineChars="0"/>
              <w:jc w:val="left"/>
              <w:textAlignment w:val="auto"/>
              <w:rPr>
                <w:rFonts w:hint="eastAsia"/>
                <w:sz w:val="24"/>
                <w:szCs w:val="24"/>
                <w:lang w:val="en-US" w:eastAsia="zh-CN"/>
              </w:rPr>
            </w:pPr>
            <w:r>
              <w:rPr>
                <w:rFonts w:hint="eastAsia"/>
                <w:sz w:val="24"/>
                <w:szCs w:val="24"/>
                <w:lang w:val="en-US" w:eastAsia="zh-CN"/>
              </w:rPr>
              <w:t>保护区北侧1300米左右为桃江县久通锑业有限责任公司，该企业主要从事锑矿及其它有色金属矿勘探、开采、选矿、加工。企业内有4个排气，两个在50米以上，加工生产过程中排放的污染有颗粒物、锑及其化合物、砷及其化合物、镉及其化合物、汞及其化合物、锡及其化合物和铅及其化合物等。</w:t>
            </w:r>
          </w:p>
          <w:p>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eastAsia="宋体"/>
                <w:b w:val="0"/>
                <w:bCs w:val="0"/>
                <w:sz w:val="24"/>
                <w:szCs w:val="24"/>
                <w:lang w:val="en-US" w:eastAsia="zh-CN"/>
              </w:rPr>
            </w:pPr>
            <w:r>
              <w:rPr>
                <w:rFonts w:hint="eastAsia"/>
                <w:b/>
                <w:bCs/>
                <w:sz w:val="24"/>
                <w:szCs w:val="24"/>
              </w:rPr>
              <w:t>防控措施</w:t>
            </w:r>
            <w:r>
              <w:rPr>
                <w:rFonts w:hint="eastAsia"/>
                <w:b/>
                <w:bCs/>
                <w:sz w:val="24"/>
                <w:szCs w:val="24"/>
                <w:lang w:val="en-US" w:eastAsia="zh-CN"/>
              </w:rPr>
              <w:t>:</w:t>
            </w:r>
            <w:r>
              <w:rPr>
                <w:rFonts w:hint="eastAsia"/>
                <w:b w:val="0"/>
                <w:bCs w:val="0"/>
                <w:sz w:val="24"/>
                <w:szCs w:val="24"/>
                <w:lang w:val="en-US" w:eastAsia="zh-CN"/>
              </w:rPr>
              <w:t>拦水坝建设后应做相应的护栏建设。请当地生态环境部门对</w:t>
            </w:r>
            <w:r>
              <w:rPr>
                <w:rFonts w:hint="eastAsia"/>
                <w:sz w:val="24"/>
                <w:szCs w:val="24"/>
                <w:lang w:val="en-US" w:eastAsia="zh-CN"/>
              </w:rPr>
              <w:t>桃江县久通锑业有限责任公司的废气排放重点关注，务必保证废气达标排放。定期对本水源水质进行重金属因子检测，如有超标趋势，当责令企业对废气再做深度处理。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1070" w:type="dxa"/>
            <w:gridSpan w:val="2"/>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r>
              <w:rPr>
                <w:rFonts w:hint="eastAsia"/>
                <w:b/>
                <w:bCs/>
                <w:sz w:val="24"/>
                <w:szCs w:val="24"/>
              </w:rPr>
              <w:t>主要环境风险与防控措施</w:t>
            </w:r>
          </w:p>
        </w:tc>
        <w:tc>
          <w:tcPr>
            <w:tcW w:w="7477" w:type="dxa"/>
            <w:gridSpan w:val="22"/>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1070" w:type="dxa"/>
            <w:gridSpan w:val="2"/>
            <w:noWrap w:val="0"/>
            <w:vAlign w:val="center"/>
          </w:tcPr>
          <w:p>
            <w:pPr>
              <w:pStyle w:val="16"/>
              <w:rPr>
                <w:rFonts w:hint="eastAsia"/>
                <w:b/>
                <w:bCs/>
                <w:sz w:val="24"/>
                <w:szCs w:val="24"/>
              </w:rPr>
            </w:pPr>
            <w:r>
              <w:rPr>
                <w:rFonts w:hint="eastAsia"/>
                <w:b/>
                <w:bCs/>
                <w:sz w:val="24"/>
                <w:szCs w:val="24"/>
              </w:rPr>
              <w:t>规范化建设与管理要求</w:t>
            </w:r>
          </w:p>
        </w:tc>
        <w:tc>
          <w:tcPr>
            <w:tcW w:w="7477" w:type="dxa"/>
            <w:gridSpan w:val="22"/>
            <w:noWrap w:val="0"/>
            <w:vAlign w:val="top"/>
          </w:tcPr>
          <w:p>
            <w:pPr>
              <w:keepNext w:val="0"/>
              <w:keepLines w:val="0"/>
              <w:pageBreakBefore w:val="0"/>
              <w:numPr>
                <w:ilvl w:val="0"/>
                <w:numId w:val="0"/>
              </w:numPr>
              <w:kinsoku/>
              <w:wordWrap/>
              <w:overflowPunct/>
              <w:topLinePunct w:val="0"/>
              <w:bidi w:val="0"/>
              <w:spacing w:line="360" w:lineRule="auto"/>
              <w:ind w:left="420" w:leftChars="0"/>
              <w:jc w:val="left"/>
              <w:rPr>
                <w:rFonts w:hint="eastAsia" w:eastAsia="宋体" w:cs="Times New Roman"/>
                <w:b/>
                <w:bCs/>
                <w:kern w:val="2"/>
                <w:sz w:val="24"/>
                <w:szCs w:val="24"/>
                <w:lang w:val="en-US" w:eastAsia="zh-CN" w:bidi="ar-SA"/>
              </w:rPr>
            </w:pPr>
            <w:r>
              <w:rPr>
                <w:rFonts w:hint="eastAsia" w:eastAsia="宋体" w:cs="Times New Roman"/>
                <w:b/>
                <w:bCs/>
                <w:kern w:val="2"/>
                <w:sz w:val="24"/>
                <w:szCs w:val="24"/>
                <w:lang w:val="en-US" w:eastAsia="zh-CN" w:bidi="ar-SA"/>
              </w:rPr>
              <w:t>一、规范化建设</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jc w:val="left"/>
              <w:textAlignment w:val="auto"/>
              <w:rPr>
                <w:rFonts w:hint="eastAsia" w:eastAsia="宋体" w:cs="Times New Roman"/>
                <w:kern w:val="2"/>
                <w:sz w:val="24"/>
                <w:szCs w:val="24"/>
                <w:lang w:val="en-US" w:eastAsia="zh-CN" w:bidi="ar-SA"/>
              </w:rPr>
            </w:pPr>
            <w:r>
              <w:rPr>
                <w:rFonts w:hint="eastAsia" w:eastAsia="宋体" w:cs="Times New Roman"/>
                <w:kern w:val="2"/>
                <w:sz w:val="24"/>
                <w:szCs w:val="24"/>
                <w:lang w:val="en-US" w:eastAsia="zh-CN" w:bidi="ar-SA"/>
              </w:rPr>
              <w:t>：饮用水水源保护区标志的设置</w:t>
            </w:r>
          </w:p>
          <w:p>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s="Times New Roman"/>
                <w:kern w:val="2"/>
                <w:sz w:val="24"/>
                <w:szCs w:val="24"/>
                <w:lang w:val="en-US" w:eastAsia="zh-CN" w:bidi="ar-SA"/>
              </w:rPr>
            </w:pPr>
            <w:r>
              <w:rPr>
                <w:rFonts w:hint="eastAsia" w:eastAsia="宋体" w:cs="Times New Roman"/>
                <w:kern w:val="2"/>
                <w:sz w:val="24"/>
                <w:szCs w:val="24"/>
                <w:lang w:val="en-US" w:eastAsia="zh-CN" w:bidi="ar-SA"/>
              </w:rPr>
              <w:t>拐点：饮用水水源保护区拐点一般设立于保护区顶点或明显拐点处。</w:t>
            </w:r>
          </w:p>
          <w:p>
            <w:pPr>
              <w:pStyle w:val="9"/>
              <w:ind w:left="0" w:leftChars="0" w:firstLine="0" w:firstLineChars="0"/>
              <w:jc w:val="center"/>
              <w:rPr>
                <w:rFonts w:hint="default" w:eastAsia="宋体" w:cs="Times New Roman"/>
                <w:kern w:val="2"/>
                <w:sz w:val="24"/>
                <w:szCs w:val="24"/>
                <w:lang w:val="en-US" w:eastAsia="zh-CN" w:bidi="ar-SA"/>
              </w:rPr>
            </w:pPr>
            <w:r>
              <w:rPr>
                <w:rFonts w:hint="eastAsia" w:eastAsia="宋体" w:cs="Times New Roman"/>
                <w:kern w:val="2"/>
                <w:sz w:val="24"/>
                <w:szCs w:val="24"/>
                <w:lang w:val="en-US" w:eastAsia="zh-CN" w:bidi="ar-SA"/>
              </w:rPr>
              <w:t>表1.1-1饮用水水源保护区拐点坐标统计表</w:t>
            </w:r>
          </w:p>
          <w:tbl>
            <w:tblPr>
              <w:tblStyle w:val="10"/>
              <w:tblW w:w="496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48"/>
              <w:gridCol w:w="1370"/>
              <w:gridCol w:w="2277"/>
              <w:gridCol w:w="21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10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ascii="仿宋_GB2312" w:hAnsi="宋体" w:eastAsia="仿宋_GB2312" w:cs="仿宋_GB2312"/>
                      <w:b/>
                      <w:bCs/>
                      <w:i w:val="0"/>
                      <w:iCs w:val="0"/>
                      <w:color w:val="000000"/>
                      <w:sz w:val="20"/>
                      <w:szCs w:val="20"/>
                      <w:u w:val="none"/>
                    </w:rPr>
                  </w:pPr>
                  <w:r>
                    <w:rPr>
                      <w:rStyle w:val="19"/>
                      <w:rFonts w:hAnsi="宋体"/>
                      <w:lang w:val="en-US" w:eastAsia="zh-CN" w:bidi="ar"/>
                    </w:rPr>
                    <w:t>类别</w:t>
                  </w:r>
                </w:p>
              </w:tc>
              <w:tc>
                <w:tcPr>
                  <w:tcW w:w="9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b/>
                      <w:bCs/>
                      <w:i w:val="0"/>
                      <w:iCs w:val="0"/>
                      <w:color w:val="000000"/>
                      <w:sz w:val="20"/>
                      <w:szCs w:val="20"/>
                      <w:u w:val="none"/>
                    </w:rPr>
                  </w:pPr>
                  <w:r>
                    <w:rPr>
                      <w:rStyle w:val="19"/>
                      <w:rFonts w:hAnsi="宋体"/>
                      <w:lang w:val="en-US" w:eastAsia="zh-CN" w:bidi="ar"/>
                    </w:rPr>
                    <w:t>序号</w:t>
                  </w:r>
                </w:p>
              </w:tc>
              <w:tc>
                <w:tcPr>
                  <w:tcW w:w="1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b/>
                      <w:bCs/>
                      <w:i w:val="0"/>
                      <w:iCs w:val="0"/>
                      <w:color w:val="000000"/>
                      <w:sz w:val="20"/>
                      <w:szCs w:val="20"/>
                      <w:u w:val="none"/>
                    </w:rPr>
                  </w:pPr>
                  <w:r>
                    <w:rPr>
                      <w:rStyle w:val="19"/>
                      <w:rFonts w:hAnsi="宋体"/>
                      <w:lang w:val="en-US" w:eastAsia="zh-CN" w:bidi="ar"/>
                    </w:rPr>
                    <w:t>经度</w:t>
                  </w:r>
                </w:p>
              </w:tc>
              <w:tc>
                <w:tcPr>
                  <w:tcW w:w="14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b/>
                      <w:bCs/>
                      <w:i w:val="0"/>
                      <w:iCs w:val="0"/>
                      <w:color w:val="000000"/>
                      <w:sz w:val="20"/>
                      <w:szCs w:val="20"/>
                      <w:u w:val="none"/>
                    </w:rPr>
                  </w:pPr>
                  <w:r>
                    <w:rPr>
                      <w:rStyle w:val="19"/>
                      <w:rFonts w:hAnsi="宋体"/>
                      <w:lang w:val="en-US" w:eastAsia="zh-CN" w:bidi="ar"/>
                    </w:rPr>
                    <w:t>纬度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一级保护区水域</w:t>
                  </w: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111.9112867</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28.35211073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A2</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111.9123831</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28.35154881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A3</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111.914148</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28.35099375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111.9141433</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28.35098616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A5</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111.9123804</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28.35153406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A6</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111.9113016</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28.3521385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一级保护区陆域</w:t>
                  </w: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111.911327</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28.35220461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111.9124159</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28.35162928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B3</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111.9141942</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28.3510687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B4</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111.914095</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28.35090776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B5</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111.9123355</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28.35145359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B6</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111.9112431</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28.35202982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二级保护区水域</w:t>
                  </w: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C1</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111.915078</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28.3508226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111.9161911</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28.3487801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C3</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111.9162542</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28.34703398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C4</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111.9162344</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28.34703471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C5</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111.9161818</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28.3487801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C6</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111.9150767</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28.35081322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二级保护区陆域</w:t>
                  </w: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D1</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111.9114705</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28.35253855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D2</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111.9154723</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28.35115319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D3</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111.9167651</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28.34700515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D4</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111.9157271</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28.34705343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D5</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111.9148581</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28.35040217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i w:val="0"/>
                      <w:iCs w:val="0"/>
                      <w:color w:val="000000"/>
                      <w:sz w:val="22"/>
                      <w:szCs w:val="22"/>
                      <w:u w:val="none"/>
                    </w:rPr>
                  </w:pPr>
                </w:p>
              </w:tc>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D6</w:t>
                  </w:r>
                </w:p>
              </w:tc>
              <w:tc>
                <w:tcPr>
                  <w:tcW w:w="22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111.9110681</w:t>
                  </w: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28.35169901</w:t>
                  </w:r>
                </w:p>
              </w:tc>
            </w:tr>
          </w:tbl>
          <w:p>
            <w:pPr>
              <w:keepNext w:val="0"/>
              <w:keepLines w:val="0"/>
              <w:pageBreakBefore w:val="0"/>
              <w:kinsoku/>
              <w:wordWrap/>
              <w:overflowPunct/>
              <w:topLinePunct w:val="0"/>
              <w:bidi w:val="0"/>
              <w:spacing w:line="360" w:lineRule="auto"/>
              <w:jc w:val="center"/>
            </w:pPr>
            <w:r>
              <w:drawing>
                <wp:inline distT="0" distB="0" distL="114300" distR="114300">
                  <wp:extent cx="4608195" cy="3298825"/>
                  <wp:effectExtent l="0" t="0" r="190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608195" cy="3298825"/>
                          </a:xfrm>
                          <a:prstGeom prst="rect">
                            <a:avLst/>
                          </a:prstGeom>
                          <a:noFill/>
                          <a:ln>
                            <a:noFill/>
                          </a:ln>
                        </pic:spPr>
                      </pic:pic>
                    </a:graphicData>
                  </a:graphic>
                </wp:inline>
              </w:drawing>
            </w:r>
          </w:p>
          <w:p>
            <w:pPr>
              <w:pStyle w:val="9"/>
              <w:ind w:left="0" w:leftChars="0" w:firstLine="0" w:firstLineChars="0"/>
              <w:jc w:val="center"/>
              <w:rPr>
                <w:rFonts w:hint="default" w:eastAsia="仿宋_GB2312"/>
                <w:sz w:val="24"/>
                <w:szCs w:val="24"/>
                <w:lang w:val="en-US" w:eastAsia="zh-CN"/>
              </w:rPr>
            </w:pPr>
            <w:r>
              <w:rPr>
                <w:rFonts w:hint="eastAsia"/>
                <w:sz w:val="24"/>
                <w:szCs w:val="24"/>
                <w:lang w:eastAsia="zh-CN"/>
              </w:rPr>
              <w:t>图</w:t>
            </w:r>
            <w:r>
              <w:rPr>
                <w:rFonts w:hint="eastAsia"/>
                <w:sz w:val="24"/>
                <w:szCs w:val="24"/>
                <w:lang w:val="en-US" w:eastAsia="zh-CN"/>
              </w:rPr>
              <w:t>1.1-1</w:t>
            </w:r>
            <w:r>
              <w:rPr>
                <w:rFonts w:hint="eastAsia" w:eastAsia="宋体" w:cs="Times New Roman"/>
                <w:kern w:val="2"/>
                <w:sz w:val="24"/>
                <w:szCs w:val="24"/>
                <w:lang w:val="en-US" w:eastAsia="zh-CN" w:bidi="ar-SA"/>
              </w:rPr>
              <w:t>饮用水水源保护区拐点图</w:t>
            </w:r>
          </w:p>
          <w:p>
            <w:pPr>
              <w:keepNext w:val="0"/>
              <w:keepLines w:val="0"/>
              <w:pageBreakBefore w:val="0"/>
              <w:kinsoku/>
              <w:wordWrap/>
              <w:overflowPunct/>
              <w:topLinePunct w:val="0"/>
              <w:bidi w:val="0"/>
              <w:spacing w:line="360" w:lineRule="auto"/>
              <w:jc w:val="left"/>
              <w:rPr>
                <w:rFonts w:hint="eastAsia" w:eastAsia="宋体" w:cs="Times New Roman"/>
                <w:kern w:val="2"/>
                <w:sz w:val="24"/>
                <w:szCs w:val="24"/>
                <w:lang w:val="en-US" w:eastAsia="zh-CN" w:bidi="ar-SA"/>
              </w:rPr>
            </w:pPr>
            <w:r>
              <w:rPr>
                <w:rFonts w:hint="eastAsia" w:eastAsia="宋体" w:cs="Times New Roman"/>
                <w:kern w:val="2"/>
                <w:sz w:val="24"/>
                <w:szCs w:val="24"/>
                <w:lang w:val="en-US" w:eastAsia="zh-CN" w:bidi="ar-SA"/>
              </w:rPr>
              <w:t>界标：饮用水水源保护区界标一般设立于保护区陆域界线的顶点处。</w:t>
            </w:r>
          </w:p>
          <w:p>
            <w:pPr>
              <w:bidi w:val="0"/>
              <w:jc w:val="center"/>
              <w:rPr>
                <w:rFonts w:hint="eastAsia"/>
                <w:lang w:val="en-US" w:eastAsia="zh-CN"/>
              </w:rPr>
            </w:pPr>
            <w:r>
              <w:rPr>
                <w:rFonts w:hint="eastAsia" w:eastAsia="宋体" w:cs="Times New Roman"/>
                <w:kern w:val="2"/>
                <w:sz w:val="24"/>
                <w:szCs w:val="24"/>
                <w:lang w:val="en-US" w:eastAsia="zh-CN" w:bidi="ar-SA"/>
              </w:rPr>
              <w:t>表1.1-2饮用水水源保护区界标坐标统计表</w:t>
            </w: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2963"/>
              <w:gridCol w:w="3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806"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仿宋_GB2312" w:cs="Times New Roman"/>
                      <w:b/>
                      <w:color w:val="auto"/>
                      <w:kern w:val="0"/>
                      <w:sz w:val="20"/>
                      <w:szCs w:val="20"/>
                    </w:rPr>
                  </w:pPr>
                  <w:r>
                    <w:rPr>
                      <w:rFonts w:hint="default" w:ascii="Times New Roman" w:hAnsi="Times New Roman" w:eastAsia="仿宋_GB2312" w:cs="Times New Roman"/>
                      <w:b/>
                      <w:color w:val="auto"/>
                      <w:kern w:val="0"/>
                      <w:sz w:val="20"/>
                      <w:szCs w:val="20"/>
                    </w:rPr>
                    <w:t>序号</w:t>
                  </w:r>
                </w:p>
              </w:tc>
              <w:tc>
                <w:tcPr>
                  <w:tcW w:w="2044"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eastAsia" w:ascii="Times New Roman" w:hAnsi="Times New Roman" w:eastAsia="仿宋_GB2312" w:cs="Times New Roman"/>
                      <w:b/>
                      <w:color w:val="auto"/>
                      <w:kern w:val="0"/>
                      <w:sz w:val="20"/>
                      <w:szCs w:val="20"/>
                      <w:lang w:val="en-US" w:eastAsia="zh-CN"/>
                    </w:rPr>
                  </w:pPr>
                  <w:r>
                    <w:rPr>
                      <w:rFonts w:hint="eastAsia" w:ascii="Times New Roman" w:hAnsi="Times New Roman" w:eastAsia="仿宋_GB2312" w:cs="Times New Roman"/>
                      <w:b/>
                      <w:color w:val="auto"/>
                      <w:kern w:val="0"/>
                      <w:sz w:val="20"/>
                      <w:szCs w:val="20"/>
                      <w:lang w:val="en-US" w:eastAsia="zh-CN"/>
                    </w:rPr>
                    <w:t>经度</w:t>
                  </w:r>
                </w:p>
              </w:tc>
              <w:tc>
                <w:tcPr>
                  <w:tcW w:w="2149"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eastAsia" w:ascii="Times New Roman" w:hAnsi="Times New Roman" w:eastAsia="仿宋_GB2312" w:cs="Times New Roman"/>
                      <w:b/>
                      <w:color w:val="auto"/>
                      <w:kern w:val="0"/>
                      <w:sz w:val="20"/>
                      <w:szCs w:val="20"/>
                      <w:lang w:val="en-US" w:eastAsia="zh-CN"/>
                    </w:rPr>
                  </w:pPr>
                  <w:r>
                    <w:rPr>
                      <w:rFonts w:hint="eastAsia" w:ascii="Times New Roman" w:hAnsi="Times New Roman" w:eastAsia="仿宋_GB2312" w:cs="Times New Roman"/>
                      <w:b/>
                      <w:color w:val="auto"/>
                      <w:kern w:val="0"/>
                      <w:sz w:val="20"/>
                      <w:szCs w:val="20"/>
                      <w:lang w:val="en-US" w:eastAsia="zh-CN"/>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J1</w:t>
                  </w:r>
                </w:p>
              </w:tc>
              <w:tc>
                <w:tcPr>
                  <w:tcW w:w="29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111.9144591</w:t>
                  </w:r>
                </w:p>
              </w:tc>
              <w:tc>
                <w:tcPr>
                  <w:tcW w:w="309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28.35133021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6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J2</w:t>
                  </w:r>
                </w:p>
              </w:tc>
              <w:tc>
                <w:tcPr>
                  <w:tcW w:w="294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111.9167685</w:t>
                  </w:r>
                </w:p>
              </w:tc>
              <w:tc>
                <w:tcPr>
                  <w:tcW w:w="309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28.34700113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6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J3</w:t>
                  </w:r>
                </w:p>
              </w:tc>
              <w:tc>
                <w:tcPr>
                  <w:tcW w:w="294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111.9157265</w:t>
                  </w:r>
                </w:p>
              </w:tc>
              <w:tc>
                <w:tcPr>
                  <w:tcW w:w="309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28.34705343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6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J4</w:t>
                  </w:r>
                </w:p>
              </w:tc>
              <w:tc>
                <w:tcPr>
                  <w:tcW w:w="294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111.9140286</w:t>
                  </w:r>
                </w:p>
              </w:tc>
              <w:tc>
                <w:tcPr>
                  <w:tcW w:w="309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28.35051482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6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J5</w:t>
                  </w:r>
                </w:p>
              </w:tc>
              <w:tc>
                <w:tcPr>
                  <w:tcW w:w="2943"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111.9110675</w:t>
                  </w:r>
                </w:p>
              </w:tc>
              <w:tc>
                <w:tcPr>
                  <w:tcW w:w="309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28.35169902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61"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J6</w:t>
                  </w:r>
                </w:p>
              </w:tc>
              <w:tc>
                <w:tcPr>
                  <w:tcW w:w="2943"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111.9114711</w:t>
                  </w:r>
                </w:p>
              </w:tc>
              <w:tc>
                <w:tcPr>
                  <w:tcW w:w="3095"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28.35254123</w:t>
                  </w:r>
                </w:p>
              </w:tc>
            </w:tr>
          </w:tbl>
          <w:p>
            <w:pPr>
              <w:keepNext w:val="0"/>
              <w:keepLines w:val="0"/>
              <w:pageBreakBefore w:val="0"/>
              <w:kinsoku/>
              <w:wordWrap/>
              <w:overflowPunct/>
              <w:topLinePunct w:val="0"/>
              <w:bidi w:val="0"/>
              <w:spacing w:line="360" w:lineRule="auto"/>
              <w:jc w:val="left"/>
              <w:rPr>
                <w:rFonts w:hint="eastAsia" w:eastAsia="宋体" w:cs="Times New Roman"/>
                <w:kern w:val="2"/>
                <w:sz w:val="24"/>
                <w:szCs w:val="24"/>
                <w:lang w:val="en-US" w:eastAsia="zh-CN" w:bidi="ar-SA"/>
              </w:rPr>
            </w:pPr>
            <w:r>
              <w:rPr>
                <w:rFonts w:hint="eastAsia" w:eastAsia="宋体" w:cs="Times New Roman"/>
                <w:kern w:val="2"/>
                <w:sz w:val="24"/>
                <w:szCs w:val="24"/>
                <w:lang w:val="en-US" w:eastAsia="zh-CN" w:bidi="ar-SA"/>
              </w:rPr>
              <w:t>宣传警示牌：宣传及警示牌在重要路段、人口较多的村庄、主要拐点或交通较为复杂的区域进行设置。</w:t>
            </w:r>
          </w:p>
          <w:p>
            <w:pPr>
              <w:bidi w:val="0"/>
              <w:jc w:val="center"/>
              <w:rPr>
                <w:rFonts w:hint="eastAsia"/>
                <w:lang w:val="en-US" w:eastAsia="zh-CN"/>
              </w:rPr>
            </w:pPr>
            <w:r>
              <w:rPr>
                <w:rFonts w:hint="eastAsia" w:eastAsia="宋体" w:cs="Times New Roman"/>
                <w:kern w:val="2"/>
                <w:sz w:val="24"/>
                <w:szCs w:val="24"/>
                <w:lang w:val="en-US" w:eastAsia="zh-CN" w:bidi="ar-SA"/>
              </w:rPr>
              <w:t>表1.1-3饮用水水源保护区宣传牌坐标统计表</w:t>
            </w:r>
          </w:p>
          <w:tbl>
            <w:tblPr>
              <w:tblStyle w:val="1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928"/>
              <w:gridCol w:w="2355"/>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027"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b/>
                      <w:color w:val="auto"/>
                      <w:kern w:val="0"/>
                      <w:sz w:val="20"/>
                      <w:szCs w:val="20"/>
                      <w:lang w:val="en-US" w:eastAsia="zh-CN"/>
                    </w:rPr>
                  </w:pPr>
                  <w:r>
                    <w:rPr>
                      <w:rFonts w:hint="eastAsia" w:ascii="Times New Roman" w:hAnsi="Times New Roman" w:cs="Times New Roman"/>
                      <w:b/>
                      <w:color w:val="auto"/>
                      <w:kern w:val="0"/>
                      <w:sz w:val="20"/>
                      <w:szCs w:val="20"/>
                      <w:lang w:val="en-US" w:eastAsia="zh-CN"/>
                    </w:rPr>
                    <w:t>类别</w:t>
                  </w:r>
                </w:p>
              </w:tc>
              <w:tc>
                <w:tcPr>
                  <w:tcW w:w="640"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_GB2312" w:cs="Times New Roman"/>
                      <w:b/>
                      <w:color w:val="auto"/>
                      <w:kern w:val="0"/>
                      <w:sz w:val="20"/>
                      <w:szCs w:val="20"/>
                    </w:rPr>
                  </w:pPr>
                  <w:r>
                    <w:rPr>
                      <w:rFonts w:hint="default" w:ascii="Times New Roman" w:hAnsi="Times New Roman" w:eastAsia="仿宋_GB2312" w:cs="Times New Roman"/>
                      <w:b/>
                      <w:color w:val="auto"/>
                      <w:kern w:val="0"/>
                      <w:sz w:val="20"/>
                      <w:szCs w:val="20"/>
                    </w:rPr>
                    <w:t>序号</w:t>
                  </w:r>
                </w:p>
              </w:tc>
              <w:tc>
                <w:tcPr>
                  <w:tcW w:w="1624"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_GB2312" w:cs="Times New Roman"/>
                      <w:b/>
                      <w:color w:val="auto"/>
                      <w:kern w:val="0"/>
                      <w:sz w:val="20"/>
                      <w:szCs w:val="20"/>
                      <w:lang w:val="en-US" w:eastAsia="zh-CN"/>
                    </w:rPr>
                  </w:pPr>
                  <w:r>
                    <w:rPr>
                      <w:rFonts w:hint="eastAsia" w:ascii="Times New Roman" w:hAnsi="Times New Roman" w:eastAsia="仿宋_GB2312" w:cs="Times New Roman"/>
                      <w:b/>
                      <w:color w:val="auto"/>
                      <w:kern w:val="0"/>
                      <w:sz w:val="20"/>
                      <w:szCs w:val="20"/>
                      <w:lang w:val="en-US" w:eastAsia="zh-CN"/>
                    </w:rPr>
                    <w:t>经度</w:t>
                  </w:r>
                </w:p>
              </w:tc>
              <w:tc>
                <w:tcPr>
                  <w:tcW w:w="1707" w:type="pct"/>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仿宋_GB2312" w:cs="Times New Roman"/>
                      <w:b/>
                      <w:color w:val="auto"/>
                      <w:kern w:val="0"/>
                      <w:sz w:val="20"/>
                      <w:szCs w:val="20"/>
                      <w:lang w:val="en-US" w:eastAsia="zh-CN"/>
                    </w:rPr>
                  </w:pPr>
                  <w:r>
                    <w:rPr>
                      <w:rFonts w:hint="eastAsia" w:ascii="Times New Roman" w:hAnsi="Times New Roman" w:eastAsia="仿宋_GB2312" w:cs="Times New Roman"/>
                      <w:b/>
                      <w:color w:val="auto"/>
                      <w:kern w:val="0"/>
                      <w:sz w:val="20"/>
                      <w:szCs w:val="20"/>
                      <w:lang w:val="en-US" w:eastAsia="zh-CN"/>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27" w:type="pct"/>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default" w:ascii="Times New Roman" w:hAnsi="Times New Roman" w:eastAsia="仿宋" w:cs="Times New Roman"/>
                      <w:color w:val="auto"/>
                      <w:kern w:val="0"/>
                      <w:sz w:val="20"/>
                      <w:szCs w:val="20"/>
                      <w:lang w:val="en-US" w:eastAsia="zh-CN"/>
                    </w:rPr>
                  </w:pPr>
                  <w:r>
                    <w:rPr>
                      <w:rFonts w:hint="eastAsia" w:ascii="Times New Roman" w:hAnsi="Times New Roman" w:eastAsia="仿宋" w:cs="Times New Roman"/>
                      <w:color w:val="auto"/>
                      <w:kern w:val="0"/>
                      <w:sz w:val="20"/>
                      <w:szCs w:val="20"/>
                      <w:lang w:val="en-US" w:eastAsia="zh-CN"/>
                    </w:rPr>
                    <w:t>宣传牌</w:t>
                  </w:r>
                </w:p>
              </w:tc>
              <w:tc>
                <w:tcPr>
                  <w:tcW w:w="928" w:type="dxa"/>
                  <w:noWrap w:val="0"/>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F1</w:t>
                  </w:r>
                </w:p>
              </w:tc>
              <w:tc>
                <w:tcPr>
                  <w:tcW w:w="235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111.9111298</w:t>
                  </w:r>
                </w:p>
              </w:tc>
              <w:tc>
                <w:tcPr>
                  <w:tcW w:w="24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28.35220528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027" w:type="pct"/>
                  <w:vMerge w:val="restart"/>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eastAsia" w:ascii="Times New Roman" w:hAnsi="Times New Roman" w:eastAsia="仿宋" w:cs="Times New Roman"/>
                      <w:color w:val="auto"/>
                      <w:kern w:val="0"/>
                      <w:sz w:val="20"/>
                      <w:szCs w:val="20"/>
                      <w:lang w:val="en-US" w:eastAsia="zh-CN"/>
                    </w:rPr>
                  </w:pPr>
                  <w:r>
                    <w:rPr>
                      <w:rFonts w:hint="eastAsia" w:eastAsia="仿宋" w:cs="Times New Roman"/>
                      <w:color w:val="auto"/>
                      <w:kern w:val="0"/>
                      <w:sz w:val="20"/>
                      <w:szCs w:val="20"/>
                      <w:lang w:val="en-US" w:eastAsia="zh-CN"/>
                    </w:rPr>
                    <w:t>交通警示牌</w:t>
                  </w:r>
                </w:p>
              </w:tc>
              <w:tc>
                <w:tcPr>
                  <w:tcW w:w="6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E1</w:t>
                  </w:r>
                </w:p>
              </w:tc>
              <w:tc>
                <w:tcPr>
                  <w:tcW w:w="1624"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111.9136457</w:t>
                  </w:r>
                </w:p>
              </w:tc>
              <w:tc>
                <w:tcPr>
                  <w:tcW w:w="170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28.35292948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027" w:type="pct"/>
                  <w:vMerge w:val="continue"/>
                  <w:noWrap w:val="0"/>
                  <w:vAlign w:val="center"/>
                </w:tcPr>
                <w:p>
                  <w:pPr>
                    <w:keepNext w:val="0"/>
                    <w:keepLines w:val="0"/>
                    <w:pageBreakBefore w:val="0"/>
                    <w:widowControl/>
                    <w:suppressLineNumbers w:val="0"/>
                    <w:kinsoku/>
                    <w:wordWrap/>
                    <w:overflowPunct/>
                    <w:topLinePunct w:val="0"/>
                    <w:bidi w:val="0"/>
                    <w:spacing w:line="360" w:lineRule="auto"/>
                    <w:jc w:val="center"/>
                    <w:textAlignment w:val="center"/>
                    <w:rPr>
                      <w:rFonts w:hint="eastAsia" w:ascii="Times New Roman" w:hAnsi="Times New Roman" w:eastAsia="仿宋" w:cs="Times New Roman"/>
                      <w:color w:val="auto"/>
                      <w:kern w:val="0"/>
                      <w:sz w:val="20"/>
                      <w:szCs w:val="20"/>
                      <w:lang w:val="en-US" w:eastAsia="zh-CN"/>
                    </w:rPr>
                  </w:pPr>
                </w:p>
              </w:tc>
              <w:tc>
                <w:tcPr>
                  <w:tcW w:w="6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E2</w:t>
                  </w:r>
                </w:p>
              </w:tc>
              <w:tc>
                <w:tcPr>
                  <w:tcW w:w="1624"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111.9130221</w:t>
                  </w:r>
                </w:p>
              </w:tc>
              <w:tc>
                <w:tcPr>
                  <w:tcW w:w="170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28.35023453</w:t>
                  </w:r>
                </w:p>
              </w:tc>
            </w:tr>
          </w:tbl>
          <w:p>
            <w:pPr>
              <w:keepNext w:val="0"/>
              <w:keepLines w:val="0"/>
              <w:pageBreakBefore w:val="0"/>
              <w:numPr>
                <w:ilvl w:val="0"/>
                <w:numId w:val="0"/>
              </w:numPr>
              <w:kinsoku/>
              <w:wordWrap/>
              <w:overflowPunct/>
              <w:topLinePunct w:val="0"/>
              <w:bidi w:val="0"/>
              <w:spacing w:line="360" w:lineRule="auto"/>
              <w:ind w:leftChars="0"/>
              <w:jc w:val="left"/>
            </w:pPr>
            <w:r>
              <w:drawing>
                <wp:inline distT="0" distB="0" distL="114300" distR="114300">
                  <wp:extent cx="4596130" cy="3420110"/>
                  <wp:effectExtent l="0" t="0" r="1397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596130" cy="3420110"/>
                          </a:xfrm>
                          <a:prstGeom prst="rect">
                            <a:avLst/>
                          </a:prstGeom>
                          <a:noFill/>
                          <a:ln>
                            <a:noFill/>
                          </a:ln>
                        </pic:spPr>
                      </pic:pic>
                    </a:graphicData>
                  </a:graphic>
                </wp:inline>
              </w:drawing>
            </w:r>
          </w:p>
          <w:p>
            <w:pPr>
              <w:keepNext w:val="0"/>
              <w:keepLines w:val="0"/>
              <w:pageBreakBefore w:val="0"/>
              <w:kinsoku/>
              <w:wordWrap/>
              <w:overflowPunct/>
              <w:topLinePunct w:val="0"/>
              <w:bidi w:val="0"/>
              <w:spacing w:line="360" w:lineRule="auto"/>
              <w:jc w:val="center"/>
              <w:rPr>
                <w:rFonts w:hint="eastAsia"/>
                <w:lang w:val="en-US" w:eastAsia="zh-CN"/>
              </w:rPr>
            </w:pPr>
            <w:r>
              <w:rPr>
                <w:rFonts w:hint="eastAsia"/>
                <w:sz w:val="24"/>
                <w:szCs w:val="24"/>
                <w:lang w:eastAsia="zh-CN"/>
              </w:rPr>
              <w:t>图</w:t>
            </w:r>
            <w:r>
              <w:rPr>
                <w:rFonts w:hint="eastAsia"/>
                <w:sz w:val="24"/>
                <w:szCs w:val="24"/>
                <w:lang w:val="en-US" w:eastAsia="zh-CN"/>
              </w:rPr>
              <w:t>1.1-2</w:t>
            </w:r>
            <w:r>
              <w:rPr>
                <w:rFonts w:hint="eastAsia" w:eastAsia="宋体" w:cs="Times New Roman"/>
                <w:kern w:val="2"/>
                <w:sz w:val="24"/>
                <w:szCs w:val="24"/>
                <w:lang w:val="en-US" w:eastAsia="zh-CN" w:bidi="ar-SA"/>
              </w:rPr>
              <w:t>饮用水水源保护区宣传牌、交通警示牌、界标位置图</w:t>
            </w:r>
          </w:p>
          <w:p>
            <w:pPr>
              <w:keepNext w:val="0"/>
              <w:keepLines w:val="0"/>
              <w:pageBreakBefore w:val="0"/>
              <w:numPr>
                <w:ilvl w:val="0"/>
                <w:numId w:val="0"/>
              </w:numPr>
              <w:kinsoku/>
              <w:wordWrap/>
              <w:overflowPunct/>
              <w:topLinePunct w:val="0"/>
              <w:bidi w:val="0"/>
              <w:spacing w:line="360" w:lineRule="auto"/>
              <w:ind w:left="420" w:leftChars="0"/>
              <w:jc w:val="left"/>
              <w:rPr>
                <w:rFonts w:hint="eastAsia" w:eastAsia="宋体" w:cs="Times New Roman"/>
                <w:b/>
                <w:bCs/>
                <w:kern w:val="2"/>
                <w:sz w:val="24"/>
                <w:szCs w:val="24"/>
                <w:lang w:val="en-US" w:eastAsia="zh-CN" w:bidi="ar-SA"/>
              </w:rPr>
            </w:pPr>
            <w:r>
              <w:rPr>
                <w:rFonts w:hint="eastAsia" w:eastAsia="宋体" w:cs="Times New Roman"/>
                <w:b/>
                <w:bCs/>
                <w:kern w:val="2"/>
                <w:sz w:val="24"/>
                <w:szCs w:val="24"/>
                <w:lang w:val="en-US" w:eastAsia="zh-CN" w:bidi="ar-SA"/>
              </w:rPr>
              <w:t>二、管理要求</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eastAsia" w:eastAsia="宋体" w:cs="Times New Roman"/>
                <w:kern w:val="2"/>
                <w:sz w:val="24"/>
                <w:szCs w:val="24"/>
                <w:lang w:val="en-US" w:eastAsia="zh-CN" w:bidi="ar-SA"/>
              </w:rPr>
            </w:pPr>
            <w:r>
              <w:rPr>
                <w:rFonts w:hint="eastAsia" w:eastAsia="宋体" w:cs="Times New Roman"/>
                <w:kern w:val="2"/>
                <w:sz w:val="24"/>
                <w:szCs w:val="24"/>
                <w:lang w:val="en-US" w:eastAsia="zh-CN" w:bidi="ar-SA"/>
              </w:rPr>
              <w:t>任何单位和个人不得损毁、涂改或者擅自移动饮用水水源保护区地理界标、警示标志、隔离防护设施。</w:t>
            </w:r>
          </w:p>
          <w:p>
            <w:pPr>
              <w:keepNext w:val="0"/>
              <w:keepLines w:val="0"/>
              <w:pageBreakBefore w:val="0"/>
              <w:widowControl/>
              <w:numPr>
                <w:ilvl w:val="0"/>
                <w:numId w:val="4"/>
              </w:numPr>
              <w:suppressLineNumbers w:val="0"/>
              <w:kinsoku/>
              <w:wordWrap/>
              <w:overflowPunct/>
              <w:topLinePunct w:val="0"/>
              <w:bidi w:val="0"/>
              <w:spacing w:line="360" w:lineRule="auto"/>
              <w:ind w:left="425" w:leftChars="0" w:hanging="425" w:firstLineChars="0"/>
              <w:jc w:val="left"/>
              <w:rPr>
                <w:rFonts w:hint="eastAsia" w:eastAsia="宋体" w:cs="Times New Roman"/>
                <w:kern w:val="2"/>
                <w:sz w:val="24"/>
                <w:szCs w:val="24"/>
                <w:lang w:val="en-US" w:eastAsia="zh-CN" w:bidi="ar-SA"/>
              </w:rPr>
            </w:pPr>
            <w:r>
              <w:rPr>
                <w:rFonts w:hint="eastAsia" w:eastAsia="宋体" w:cs="Times New Roman"/>
                <w:kern w:val="2"/>
                <w:sz w:val="24"/>
                <w:szCs w:val="24"/>
                <w:lang w:val="en-US" w:eastAsia="zh-CN" w:bidi="ar-SA"/>
              </w:rPr>
              <w:t>一级保护区内必须遵守下列规定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禁止新建、扩建与供水设施和保护水源无关的建设项目；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禁止向水域排放污水；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禁止堆置和存放工业废渣、城市垃圾、粪便和其他废弃物；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禁止设置油库，存放油类物资；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禁止从事放养禽畜和网箱养殖活动；</w:t>
            </w:r>
          </w:p>
          <w:p>
            <w:pPr>
              <w:keepNext w:val="0"/>
              <w:keepLines w:val="0"/>
              <w:pageBreakBefore w:val="0"/>
              <w:widowControl/>
              <w:numPr>
                <w:ilvl w:val="0"/>
                <w:numId w:val="4"/>
              </w:numPr>
              <w:suppressLineNumbers w:val="0"/>
              <w:kinsoku/>
              <w:wordWrap/>
              <w:overflowPunct/>
              <w:topLinePunct w:val="0"/>
              <w:bidi w:val="0"/>
              <w:spacing w:line="360" w:lineRule="auto"/>
              <w:ind w:left="425" w:leftChars="0" w:hanging="425" w:firstLineChars="0"/>
              <w:jc w:val="left"/>
              <w:rPr>
                <w:rFonts w:hint="eastAsia" w:eastAsia="宋体" w:cs="Times New Roman"/>
                <w:kern w:val="2"/>
                <w:sz w:val="24"/>
                <w:szCs w:val="24"/>
                <w:lang w:val="en-US" w:eastAsia="zh-CN" w:bidi="ar-SA"/>
              </w:rPr>
            </w:pPr>
            <w:r>
              <w:rPr>
                <w:rFonts w:hint="eastAsia" w:eastAsia="宋体" w:cs="Times New Roman"/>
                <w:kern w:val="2"/>
                <w:sz w:val="24"/>
                <w:szCs w:val="24"/>
                <w:lang w:val="en-US" w:eastAsia="zh-CN" w:bidi="ar-SA"/>
              </w:rPr>
              <w:t>二级保护区内必须遵守下列规定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禁止新建、改建、扩建排放污染物的建设项目，原有排污口依法拆除或者关闭；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禁止建立墓地；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禁止设置畜禽养殖场、养殖小区；</w:t>
            </w:r>
          </w:p>
          <w:p>
            <w:pPr>
              <w:pStyle w:val="15"/>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firstLine="0" w:firstLineChars="0"/>
              <w:jc w:val="left"/>
              <w:textAlignment w:val="auto"/>
              <w:rPr>
                <w:rFonts w:hint="eastAsia" w:eastAsia="宋体" w:cs="Times New Roman"/>
                <w:b/>
                <w:bCs/>
                <w:kern w:val="2"/>
                <w:sz w:val="24"/>
                <w:szCs w:val="24"/>
                <w:lang w:val="en-US" w:eastAsia="zh-CN" w:bidi="ar-SA"/>
              </w:rPr>
            </w:pPr>
            <w:r>
              <w:rPr>
                <w:rFonts w:hint="eastAsia" w:eastAsia="宋体" w:cs="Times New Roman"/>
                <w:b/>
                <w:bCs/>
                <w:kern w:val="2"/>
                <w:sz w:val="24"/>
                <w:szCs w:val="24"/>
                <w:lang w:val="en-US" w:eastAsia="zh-CN" w:bidi="ar-SA"/>
              </w:rPr>
              <w:t>水源地水质日常监测</w:t>
            </w:r>
          </w:p>
          <w:p>
            <w:pPr>
              <w:pStyle w:val="15"/>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常规监测：按照相关部门的要求定期</w:t>
            </w:r>
            <w:r>
              <w:rPr>
                <w:rFonts w:hint="eastAsia" w:ascii="Times New Roman" w:hAnsi="Times New Roman" w:eastAsia="宋体" w:cs="Times New Roman"/>
                <w:kern w:val="2"/>
                <w:sz w:val="24"/>
                <w:szCs w:val="24"/>
                <w:lang w:val="en-US" w:eastAsia="zh-CN" w:bidi="ar-SA"/>
              </w:rPr>
              <w:t>对饮用水水源地</w:t>
            </w:r>
            <w:r>
              <w:rPr>
                <w:rFonts w:hint="default" w:ascii="Times New Roman" w:hAnsi="Times New Roman" w:eastAsia="宋体" w:cs="Times New Roman"/>
                <w:kern w:val="2"/>
                <w:sz w:val="24"/>
                <w:szCs w:val="24"/>
                <w:lang w:val="en-US" w:eastAsia="zh-CN" w:bidi="ar-SA"/>
              </w:rPr>
              <w:t>进行</w:t>
            </w:r>
            <w:r>
              <w:rPr>
                <w:rFonts w:hint="eastAsia" w:ascii="Times New Roman" w:hAnsi="Times New Roman" w:eastAsia="宋体" w:cs="Times New Roman"/>
                <w:kern w:val="2"/>
                <w:sz w:val="24"/>
                <w:szCs w:val="24"/>
                <w:lang w:val="en-US" w:eastAsia="zh-CN" w:bidi="ar-SA"/>
              </w:rPr>
              <w:t>常规监测，监测因子包括</w:t>
            </w:r>
            <w:r>
              <w:rPr>
                <w:rFonts w:hint="default" w:ascii="Times New Roman" w:hAnsi="Times New Roman" w:eastAsia="宋体" w:cs="Times New Roman"/>
                <w:kern w:val="2"/>
                <w:sz w:val="24"/>
                <w:szCs w:val="24"/>
                <w:lang w:val="en-US" w:eastAsia="zh-CN" w:bidi="ar-SA"/>
              </w:rPr>
              <w:t>《地表水环境质量标准》（GB 3838-2002）表1的基本项目（23项，化学需氧量除外）</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表2的补充项目（5项），表3中的优选特定项目（33项）；</w:t>
            </w:r>
            <w:r>
              <w:rPr>
                <w:rFonts w:hint="eastAsia" w:ascii="Times New Roman" w:hAnsi="Times New Roman" w:eastAsia="宋体" w:cs="Times New Roman"/>
                <w:kern w:val="2"/>
                <w:sz w:val="24"/>
                <w:szCs w:val="24"/>
                <w:lang w:val="en-US" w:eastAsia="zh-CN" w:bidi="ar-SA"/>
              </w:rPr>
              <w:t>共61项。</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全指标监测</w:t>
            </w:r>
            <w:r>
              <w:rPr>
                <w:rFonts w:hint="default" w:ascii="Times New Roman" w:hAnsi="Times New Roman" w:eastAsia="宋体" w:cs="Times New Roman"/>
                <w:kern w:val="2"/>
                <w:sz w:val="24"/>
                <w:szCs w:val="24"/>
                <w:lang w:val="en-US" w:eastAsia="zh-CN" w:bidi="ar-SA"/>
              </w:rPr>
              <w:t>：按照相关部门的要求定期</w:t>
            </w:r>
            <w:r>
              <w:rPr>
                <w:rFonts w:hint="eastAsia" w:ascii="Times New Roman" w:hAnsi="Times New Roman" w:cs="Times New Roman"/>
                <w:kern w:val="2"/>
                <w:sz w:val="24"/>
                <w:szCs w:val="24"/>
                <w:lang w:val="en-US" w:eastAsia="zh-CN" w:bidi="ar-SA"/>
              </w:rPr>
              <w:t>对饮用水水源地</w:t>
            </w:r>
            <w:r>
              <w:rPr>
                <w:rFonts w:hint="default" w:ascii="Times New Roman" w:hAnsi="Times New Roman" w:eastAsia="宋体" w:cs="Times New Roman"/>
                <w:kern w:val="2"/>
                <w:sz w:val="24"/>
                <w:szCs w:val="24"/>
                <w:lang w:val="en-US" w:eastAsia="zh-CN" w:bidi="ar-SA"/>
              </w:rPr>
              <w:t>进行</w:t>
            </w:r>
            <w:r>
              <w:rPr>
                <w:rFonts w:hint="eastAsia" w:ascii="Times New Roman" w:hAnsi="Times New Roman" w:cs="Times New Roman"/>
                <w:kern w:val="2"/>
                <w:sz w:val="24"/>
                <w:szCs w:val="24"/>
                <w:lang w:val="en-US" w:eastAsia="zh-CN" w:bidi="ar-SA"/>
              </w:rPr>
              <w:t>全指标监测，监测因子包括</w:t>
            </w:r>
            <w:r>
              <w:rPr>
                <w:rFonts w:hint="default" w:ascii="Times New Roman" w:hAnsi="Times New Roman" w:eastAsia="宋体" w:cs="Times New Roman"/>
                <w:kern w:val="2"/>
                <w:sz w:val="24"/>
                <w:szCs w:val="24"/>
                <w:lang w:val="en-US" w:eastAsia="zh-CN" w:bidi="ar-SA"/>
              </w:rPr>
              <w:t>《地表水环境质量标准》（GB3838-2002）表1、表2、表3中所有项目。</w:t>
            </w:r>
          </w:p>
          <w:p>
            <w:pPr>
              <w:pStyle w:val="15"/>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firstLine="0" w:firstLineChars="0"/>
              <w:jc w:val="left"/>
              <w:textAlignment w:val="auto"/>
              <w:rPr>
                <w:rFonts w:hint="default" w:eastAsia="宋体" w:cs="Times New Roman"/>
                <w:b/>
                <w:bCs/>
                <w:kern w:val="2"/>
                <w:sz w:val="24"/>
                <w:szCs w:val="24"/>
                <w:lang w:val="en-US" w:eastAsia="zh-CN" w:bidi="ar-SA"/>
              </w:rPr>
            </w:pPr>
            <w:r>
              <w:rPr>
                <w:rFonts w:hint="eastAsia" w:eastAsia="宋体" w:cs="Times New Roman"/>
                <w:b/>
                <w:bCs/>
                <w:kern w:val="2"/>
                <w:sz w:val="24"/>
                <w:szCs w:val="24"/>
                <w:lang w:val="en-US" w:eastAsia="zh-CN" w:bidi="ar-SA"/>
              </w:rPr>
              <w:t>应急预案</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建立应急机制。制定突发性环境危害事件的应急预案。成立突发性环境危害事件应急小组，准备突发性应急事件所需的物品、相关仪器和药品，组织突发性环境事故应急处置人员有关应急知识和处理技术的专业培训。</w:t>
            </w:r>
          </w:p>
          <w:p>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报送县级应急管理局，</w:t>
            </w:r>
            <w:r>
              <w:rPr>
                <w:rFonts w:hint="default" w:ascii="Times New Roman" w:hAnsi="Times New Roman" w:eastAsia="宋体" w:cs="Times New Roman"/>
                <w:kern w:val="2"/>
                <w:sz w:val="24"/>
                <w:szCs w:val="24"/>
                <w:lang w:val="en-US" w:eastAsia="zh-CN" w:bidi="ar-SA"/>
              </w:rPr>
              <w:t>编制</w:t>
            </w:r>
            <w:r>
              <w:rPr>
                <w:rFonts w:hint="eastAsia" w:cs="Times New Roman"/>
                <w:kern w:val="2"/>
                <w:sz w:val="24"/>
                <w:szCs w:val="24"/>
                <w:lang w:val="en-US" w:eastAsia="zh-CN" w:bidi="ar-SA"/>
              </w:rPr>
              <w:t>桃江</w:t>
            </w:r>
            <w:r>
              <w:rPr>
                <w:rFonts w:hint="eastAsia" w:ascii="Times New Roman" w:hAnsi="Times New Roman" w:eastAsia="宋体" w:cs="Times New Roman"/>
                <w:kern w:val="2"/>
                <w:sz w:val="24"/>
                <w:szCs w:val="24"/>
                <w:lang w:val="en-US" w:eastAsia="zh-CN" w:bidi="ar-SA"/>
              </w:rPr>
              <w:t>县全县饮用水水源地</w:t>
            </w:r>
            <w:r>
              <w:rPr>
                <w:rFonts w:hint="default" w:ascii="Times New Roman" w:hAnsi="Times New Roman" w:eastAsia="宋体" w:cs="Times New Roman"/>
                <w:kern w:val="2"/>
                <w:sz w:val="24"/>
                <w:szCs w:val="24"/>
                <w:lang w:val="en-US" w:eastAsia="zh-CN" w:bidi="ar-SA"/>
              </w:rPr>
              <w:t>环境应急预案。明确污染事件的预防、预警和应急措施，建立突发性环境危害事件的分类、分级标准，制定各级事件应急响应的措施，包括应急指挥机构、应急工作组组成、先期处置方式和内容、响应程序、信息报送、指挥协调、应急措施、应急监测、安全防护、信息发布、善后处理、事件评估等内容。定期开展突发环境事件应急演练，根据演练情况，进一步完善风险防范措施，提高风险防控水平，避免或减少对水源地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0" w:type="dxa"/>
            <w:gridSpan w:val="2"/>
            <w:noWrap w:val="0"/>
            <w:vAlign w:val="center"/>
          </w:tcPr>
          <w:p>
            <w:pPr>
              <w:pStyle w:val="16"/>
              <w:rPr>
                <w:rFonts w:hint="eastAsia"/>
                <w:b/>
                <w:bCs/>
                <w:sz w:val="24"/>
                <w:szCs w:val="24"/>
              </w:rPr>
            </w:pPr>
            <w:r>
              <w:rPr>
                <w:rFonts w:hint="eastAsia"/>
                <w:b/>
                <w:bCs/>
                <w:sz w:val="24"/>
                <w:szCs w:val="24"/>
              </w:rPr>
              <w:t>政府各部门及专家意见落实情况</w:t>
            </w:r>
          </w:p>
        </w:tc>
        <w:tc>
          <w:tcPr>
            <w:tcW w:w="7477" w:type="dxa"/>
            <w:gridSpan w:val="22"/>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Times New Roman" w:hAnsi="Times New Roman" w:eastAsia="宋体"/>
                <w:sz w:val="24"/>
                <w:szCs w:val="24"/>
              </w:rPr>
            </w:pPr>
          </w:p>
        </w:tc>
      </w:tr>
    </w:tbl>
    <w:p>
      <w:pPr>
        <w:rPr>
          <w:rFonts w:hint="eastAsia" w:ascii="仿宋_GB2312" w:hAnsi="仿宋_GB2312" w:eastAsia="仿宋_GB2312" w:cs="仿宋_GB231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方正小标宋_GBK">
    <w:altName w:val="微软雅黑"/>
    <w:panose1 w:val="03000509000000000000"/>
    <w:charset w:val="86"/>
    <w:family w:val="script"/>
    <w:pitch w:val="default"/>
    <w:sig w:usb0="00000000" w:usb1="00000000" w:usb2="00000000" w:usb3="00000000" w:csb0="00040000" w:csb1="00000000"/>
  </w:font>
  <w:font w:name="Wingdings 2">
    <w:altName w:val="Wingdings"/>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BD829D"/>
    <w:multiLevelType w:val="singleLevel"/>
    <w:tmpl w:val="8BBD829D"/>
    <w:lvl w:ilvl="0" w:tentative="0">
      <w:start w:val="1"/>
      <w:numFmt w:val="decimal"/>
      <w:lvlText w:val="%1."/>
      <w:lvlJc w:val="left"/>
      <w:pPr>
        <w:ind w:left="425" w:hanging="425"/>
      </w:pPr>
      <w:rPr>
        <w:rFonts w:hint="default"/>
      </w:rPr>
    </w:lvl>
  </w:abstractNum>
  <w:abstractNum w:abstractNumId="1">
    <w:nsid w:val="AA7FA5F4"/>
    <w:multiLevelType w:val="singleLevel"/>
    <w:tmpl w:val="AA7FA5F4"/>
    <w:lvl w:ilvl="0" w:tentative="0">
      <w:start w:val="1"/>
      <w:numFmt w:val="decimal"/>
      <w:lvlText w:val="(%1)"/>
      <w:lvlJc w:val="left"/>
      <w:pPr>
        <w:ind w:left="425" w:hanging="425"/>
      </w:pPr>
      <w:rPr>
        <w:rFonts w:hint="default"/>
      </w:rPr>
    </w:lvl>
  </w:abstractNum>
  <w:abstractNum w:abstractNumId="2">
    <w:nsid w:val="C8584183"/>
    <w:multiLevelType w:val="singleLevel"/>
    <w:tmpl w:val="C8584183"/>
    <w:lvl w:ilvl="0" w:tentative="0">
      <w:start w:val="1"/>
      <w:numFmt w:val="decimalEnclosedCircleChinese"/>
      <w:suff w:val="nothing"/>
      <w:lvlText w:val="%1　"/>
      <w:lvlJc w:val="left"/>
      <w:pPr>
        <w:ind w:left="0" w:firstLine="403"/>
      </w:pPr>
      <w:rPr>
        <w:rFonts w:hint="eastAsia"/>
      </w:rPr>
    </w:lvl>
  </w:abstractNum>
  <w:abstractNum w:abstractNumId="3">
    <w:nsid w:val="F21C80D8"/>
    <w:multiLevelType w:val="singleLevel"/>
    <w:tmpl w:val="F21C80D8"/>
    <w:lvl w:ilvl="0" w:tentative="0">
      <w:start w:val="1"/>
      <w:numFmt w:val="decimal"/>
      <w:lvlText w:val="(%1)"/>
      <w:lvlJc w:val="left"/>
      <w:pPr>
        <w:ind w:left="425" w:hanging="425"/>
      </w:pPr>
      <w:rPr>
        <w:rFonts w:hint="default"/>
      </w:rPr>
    </w:lvl>
  </w:abstractNum>
  <w:abstractNum w:abstractNumId="4">
    <w:nsid w:val="4BE820F9"/>
    <w:multiLevelType w:val="singleLevel"/>
    <w:tmpl w:val="4BE820F9"/>
    <w:lvl w:ilvl="0" w:tentative="0">
      <w:start w:val="3"/>
      <w:numFmt w:val="chineseCounting"/>
      <w:suff w:val="nothing"/>
      <w:lvlText w:val="%1、"/>
      <w:lvlJc w:val="left"/>
      <w:rPr>
        <w:rFonts w:hint="eastAsia"/>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zMDhmZjYyYmU2ZDlhMzc0YTU3MTI4MTk5NzhiMjcifQ=="/>
  </w:docVars>
  <w:rsids>
    <w:rsidRoot w:val="00172A27"/>
    <w:rsid w:val="011035C7"/>
    <w:rsid w:val="033B5440"/>
    <w:rsid w:val="099B3273"/>
    <w:rsid w:val="11EB44B3"/>
    <w:rsid w:val="17D532A0"/>
    <w:rsid w:val="1D55030B"/>
    <w:rsid w:val="25BC4457"/>
    <w:rsid w:val="288F7549"/>
    <w:rsid w:val="2B2D3014"/>
    <w:rsid w:val="340009CB"/>
    <w:rsid w:val="36FA18F0"/>
    <w:rsid w:val="3BA8684F"/>
    <w:rsid w:val="3E1A483B"/>
    <w:rsid w:val="3E844BEA"/>
    <w:rsid w:val="42F01326"/>
    <w:rsid w:val="44402C89"/>
    <w:rsid w:val="449014E6"/>
    <w:rsid w:val="45FD67B8"/>
    <w:rsid w:val="464C0F6A"/>
    <w:rsid w:val="493772D0"/>
    <w:rsid w:val="4AD97FA4"/>
    <w:rsid w:val="4EDA5577"/>
    <w:rsid w:val="51836E5C"/>
    <w:rsid w:val="570A538A"/>
    <w:rsid w:val="59405B01"/>
    <w:rsid w:val="5C1F2340"/>
    <w:rsid w:val="66EB3BE2"/>
    <w:rsid w:val="70872778"/>
    <w:rsid w:val="7335107C"/>
    <w:rsid w:val="74AE2816"/>
    <w:rsid w:val="76BD5B63"/>
    <w:rsid w:val="76C6257E"/>
    <w:rsid w:val="77235551"/>
    <w:rsid w:val="7C6E5DE9"/>
    <w:rsid w:val="7D4E29DA"/>
    <w:rsid w:val="7D6837F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lang w:val="en-US" w:eastAsia="zh-CN" w:bidi="ar-SA"/>
    </w:rPr>
  </w:style>
  <w:style w:type="paragraph" w:styleId="5">
    <w:name w:val="heading 1"/>
    <w:basedOn w:val="1"/>
    <w:next w:val="1"/>
    <w:link w:val="14"/>
    <w:qFormat/>
    <w:uiPriority w:val="0"/>
    <w:pPr>
      <w:keepNext/>
      <w:keepLines/>
      <w:adjustRightInd w:val="0"/>
      <w:snapToGrid w:val="0"/>
      <w:ind w:left="431" w:firstLine="0" w:firstLineChars="0"/>
      <w:jc w:val="center"/>
      <w:outlineLvl w:val="0"/>
    </w:pPr>
    <w:rPr>
      <w:rFonts w:ascii="Times New Roman" w:hAnsi="Times New Roman" w:eastAsia="黑体"/>
      <w:b/>
      <w:bCs/>
      <w:kern w:val="44"/>
      <w:sz w:val="30"/>
      <w:szCs w:val="44"/>
    </w:rPr>
  </w:style>
  <w:style w:type="paragraph" w:styleId="6">
    <w:name w:val="heading 2"/>
    <w:basedOn w:val="1"/>
    <w:next w:val="1"/>
    <w:link w:val="12"/>
    <w:semiHidden/>
    <w:unhideWhenUsed/>
    <w:qFormat/>
    <w:uiPriority w:val="0"/>
    <w:pPr>
      <w:keepNext/>
      <w:keepLines/>
      <w:tabs>
        <w:tab w:val="left" w:pos="0"/>
      </w:tabs>
      <w:adjustRightInd w:val="0"/>
      <w:snapToGrid w:val="0"/>
      <w:spacing w:before="50" w:beforeLines="50"/>
      <w:ind w:firstLine="0" w:firstLineChars="0"/>
      <w:jc w:val="left"/>
      <w:outlineLvl w:val="1"/>
    </w:pPr>
    <w:rPr>
      <w:rFonts w:ascii="Times New Roman" w:hAnsi="Times New Roman" w:eastAsia="黑体"/>
      <w:b/>
      <w:bCs/>
      <w:sz w:val="30"/>
      <w:szCs w:val="32"/>
    </w:rPr>
  </w:style>
  <w:style w:type="paragraph" w:styleId="7">
    <w:name w:val="heading 3"/>
    <w:basedOn w:val="1"/>
    <w:next w:val="1"/>
    <w:link w:val="13"/>
    <w:semiHidden/>
    <w:unhideWhenUsed/>
    <w:qFormat/>
    <w:uiPriority w:val="0"/>
    <w:pPr>
      <w:keepNext/>
      <w:keepLines/>
      <w:spacing w:before="260" w:after="260" w:line="360" w:lineRule="auto"/>
      <w:outlineLvl w:val="2"/>
    </w:pPr>
    <w:rPr>
      <w:rFonts w:ascii="Times New Roman" w:hAnsi="Times New Roman" w:eastAsia="宋体"/>
      <w:b/>
      <w:bCs/>
      <w:sz w:val="24"/>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szCs w:val="22"/>
      <w:lang w:val="en-US" w:eastAsia="zh-CN"/>
    </w:rPr>
  </w:style>
  <w:style w:type="paragraph" w:styleId="3">
    <w:name w:val="Body Text"/>
    <w:basedOn w:val="1"/>
    <w:next w:val="4"/>
    <w:qFormat/>
    <w:uiPriority w:val="0"/>
    <w:pPr>
      <w:spacing w:after="120"/>
    </w:pPr>
  </w:style>
  <w:style w:type="paragraph" w:customStyle="1" w:styleId="4">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8">
    <w:name w:val="Body Text Indent"/>
    <w:basedOn w:val="1"/>
    <w:qFormat/>
    <w:uiPriority w:val="0"/>
    <w:pPr>
      <w:spacing w:after="120" w:afterLines="0"/>
      <w:ind w:left="420" w:leftChars="200"/>
    </w:pPr>
  </w:style>
  <w:style w:type="paragraph" w:styleId="9">
    <w:name w:val="Body Text First Indent 2"/>
    <w:basedOn w:val="8"/>
    <w:qFormat/>
    <w:uiPriority w:val="0"/>
    <w:pPr>
      <w:ind w:firstLine="420" w:firstLineChars="200"/>
    </w:pPr>
  </w:style>
  <w:style w:type="character" w:customStyle="1" w:styleId="12">
    <w:name w:val="标题 2 Char"/>
    <w:basedOn w:val="11"/>
    <w:link w:val="6"/>
    <w:semiHidden/>
    <w:qFormat/>
    <w:uiPriority w:val="0"/>
    <w:rPr>
      <w:rFonts w:ascii="Times New Roman" w:hAnsi="Times New Roman" w:eastAsia="黑体"/>
      <w:b/>
      <w:bCs/>
      <w:kern w:val="2"/>
      <w:sz w:val="30"/>
      <w:szCs w:val="32"/>
    </w:rPr>
  </w:style>
  <w:style w:type="character" w:customStyle="1" w:styleId="13">
    <w:name w:val="标题 3 Char"/>
    <w:link w:val="7"/>
    <w:qFormat/>
    <w:uiPriority w:val="0"/>
    <w:rPr>
      <w:rFonts w:ascii="Times New Roman" w:hAnsi="Times New Roman" w:eastAsia="宋体"/>
      <w:b/>
      <w:bCs/>
      <w:kern w:val="2"/>
      <w:sz w:val="24"/>
      <w:szCs w:val="32"/>
    </w:rPr>
  </w:style>
  <w:style w:type="character" w:customStyle="1" w:styleId="14">
    <w:name w:val="标题 1 Char"/>
    <w:link w:val="5"/>
    <w:qFormat/>
    <w:uiPriority w:val="0"/>
    <w:rPr>
      <w:rFonts w:ascii="Times New Roman" w:hAnsi="Times New Roman" w:eastAsia="黑体"/>
      <w:b/>
      <w:bCs/>
      <w:kern w:val="44"/>
      <w:sz w:val="30"/>
      <w:szCs w:val="44"/>
    </w:rPr>
  </w:style>
  <w:style w:type="paragraph" w:customStyle="1" w:styleId="15">
    <w:name w:val="_Style 1"/>
    <w:qFormat/>
    <w:uiPriority w:val="1"/>
    <w:pPr>
      <w:adjustRightInd w:val="0"/>
      <w:snapToGrid w:val="0"/>
      <w:spacing w:line="360" w:lineRule="auto"/>
      <w:jc w:val="center"/>
    </w:pPr>
    <w:rPr>
      <w:rFonts w:ascii="Tahoma" w:hAnsi="Tahoma" w:eastAsia="宋体" w:cs="Times New Roman"/>
      <w:sz w:val="24"/>
      <w:szCs w:val="22"/>
      <w:lang w:val="en-US" w:eastAsia="zh-CN" w:bidi="ar-SA"/>
    </w:rPr>
  </w:style>
  <w:style w:type="paragraph" w:customStyle="1" w:styleId="16">
    <w:name w:val="表内容"/>
    <w:basedOn w:val="1"/>
    <w:qFormat/>
    <w:uiPriority w:val="0"/>
    <w:pPr>
      <w:jc w:val="center"/>
    </w:pPr>
    <w:rPr>
      <w:rFonts w:eastAsia="宋体"/>
      <w:sz w:val="21"/>
      <w:szCs w:val="22"/>
    </w:rPr>
  </w:style>
  <w:style w:type="character" w:customStyle="1" w:styleId="17">
    <w:name w:val="font61"/>
    <w:basedOn w:val="11"/>
    <w:qFormat/>
    <w:uiPriority w:val="0"/>
    <w:rPr>
      <w:rFonts w:hint="eastAsia" w:ascii="宋体" w:hAnsi="宋体" w:eastAsia="宋体" w:cs="宋体"/>
      <w:color w:val="000000"/>
      <w:sz w:val="20"/>
      <w:szCs w:val="20"/>
      <w:u w:val="none"/>
    </w:rPr>
  </w:style>
  <w:style w:type="character" w:customStyle="1" w:styleId="18">
    <w:name w:val="font51"/>
    <w:basedOn w:val="11"/>
    <w:qFormat/>
    <w:uiPriority w:val="0"/>
    <w:rPr>
      <w:rFonts w:hint="default" w:ascii="Times New Roman" w:hAnsi="Times New Roman" w:cs="Times New Roman"/>
      <w:color w:val="000000"/>
      <w:sz w:val="20"/>
      <w:szCs w:val="20"/>
      <w:u w:val="none"/>
    </w:rPr>
  </w:style>
  <w:style w:type="character" w:customStyle="1" w:styleId="19">
    <w:name w:val="font11"/>
    <w:basedOn w:val="11"/>
    <w:qFormat/>
    <w:uiPriority w:val="0"/>
    <w:rPr>
      <w:rFonts w:hint="eastAsia" w:ascii="仿宋_GB2312" w:eastAsia="仿宋_GB2312" w:cs="仿宋_GB2312"/>
      <w:b/>
      <w:bCs/>
      <w:color w:val="000000"/>
      <w:sz w:val="20"/>
      <w:szCs w:val="20"/>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3333</Words>
  <Characters>4269</Characters>
  <Lines>0</Lines>
  <Paragraphs>0</Paragraphs>
  <TotalTime>3</TotalTime>
  <ScaleCrop>false</ScaleCrop>
  <LinksUpToDate>false</LinksUpToDate>
  <CharactersWithSpaces>4272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2020-09-21T01:52:00Z</dcterms:created>
  <dc:creator>低調媞因不再天真</dc:creator>
  <cp:lastModifiedBy>一缕霞光</cp:lastModifiedBy>
  <dcterms:modified xsi:type="dcterms:W3CDTF">2023-06-29T08:34:59Z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CED0D69ED3834EE3B0AE9C2D25C686E7_13</vt:lpwstr>
  </property>
</Properties>
</file>