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86" w:beforeLines="50" w:after="286" w:afterLines="50" w:line="800" w:lineRule="exact"/>
        <w:jc w:val="center"/>
        <w:rPr>
          <w:rFonts w:hint="eastAsia" w:eastAsia="方正小标宋_GBK"/>
          <w:sz w:val="40"/>
          <w:szCs w:val="40"/>
        </w:rPr>
      </w:pPr>
      <w:bookmarkStart w:id="0" w:name="_GoBack"/>
      <w:bookmarkEnd w:id="0"/>
      <w:r>
        <w:rPr>
          <w:rFonts w:hint="eastAsia" w:eastAsia="方正小标宋_GBK"/>
          <w:sz w:val="40"/>
          <w:szCs w:val="40"/>
          <w:u w:val="single"/>
        </w:rPr>
        <w:t xml:space="preserve"> </w:t>
      </w:r>
      <w:r>
        <w:rPr>
          <w:rFonts w:hint="eastAsia" w:eastAsia="方正小标宋_GBK"/>
          <w:sz w:val="40"/>
          <w:szCs w:val="40"/>
          <w:u w:val="single"/>
          <w:lang w:val="en-US" w:eastAsia="zh-CN"/>
        </w:rPr>
        <w:t>桃江</w:t>
      </w:r>
      <w:r>
        <w:rPr>
          <w:rFonts w:hint="eastAsia" w:eastAsia="方正小标宋_GBK"/>
          <w:sz w:val="40"/>
          <w:szCs w:val="40"/>
          <w:u w:val="single"/>
        </w:rPr>
        <w:t xml:space="preserve"> </w:t>
      </w:r>
      <w:r>
        <w:rPr>
          <w:rFonts w:hint="eastAsia" w:eastAsia="方正小标宋_GBK"/>
          <w:sz w:val="40"/>
          <w:szCs w:val="40"/>
        </w:rPr>
        <w:t>县（市、区）农村千人以上</w:t>
      </w:r>
      <w:r>
        <w:rPr>
          <w:rFonts w:eastAsia="方正小标宋_GBK"/>
          <w:sz w:val="40"/>
          <w:szCs w:val="40"/>
        </w:rPr>
        <w:t>饮用水水源保护区划分技术报告</w:t>
      </w:r>
      <w:r>
        <w:rPr>
          <w:rFonts w:hint="eastAsia" w:eastAsia="方正小标宋_GBK"/>
          <w:sz w:val="40"/>
          <w:szCs w:val="40"/>
        </w:rPr>
        <w:t>表</w:t>
      </w:r>
    </w:p>
    <w:tbl>
      <w:tblPr>
        <w:tblStyle w:val="10"/>
        <w:tblW w:w="85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6"/>
        <w:gridCol w:w="508"/>
        <w:gridCol w:w="254"/>
        <w:gridCol w:w="139"/>
        <w:gridCol w:w="184"/>
        <w:gridCol w:w="281"/>
        <w:gridCol w:w="199"/>
        <w:gridCol w:w="565"/>
        <w:gridCol w:w="18"/>
        <w:gridCol w:w="146"/>
        <w:gridCol w:w="743"/>
        <w:gridCol w:w="149"/>
        <w:gridCol w:w="282"/>
        <w:gridCol w:w="925"/>
        <w:gridCol w:w="45"/>
        <w:gridCol w:w="78"/>
        <w:gridCol w:w="91"/>
        <w:gridCol w:w="190"/>
        <w:gridCol w:w="88"/>
        <w:gridCol w:w="562"/>
        <w:gridCol w:w="386"/>
        <w:gridCol w:w="438"/>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74" w:type="dxa"/>
            <w:gridSpan w:val="2"/>
            <w:noWrap w:val="0"/>
            <w:vAlign w:val="center"/>
          </w:tcPr>
          <w:p>
            <w:pPr>
              <w:pStyle w:val="16"/>
              <w:rPr>
                <w:b/>
                <w:bCs/>
                <w:sz w:val="24"/>
                <w:szCs w:val="24"/>
              </w:rPr>
            </w:pPr>
            <w:r>
              <w:rPr>
                <w:rFonts w:hint="eastAsia"/>
                <w:b/>
                <w:bCs/>
                <w:sz w:val="24"/>
                <w:szCs w:val="24"/>
              </w:rPr>
              <w:t>饮用水水源地</w:t>
            </w:r>
            <w:r>
              <w:rPr>
                <w:b/>
                <w:bCs/>
                <w:sz w:val="24"/>
                <w:szCs w:val="24"/>
              </w:rPr>
              <w:t>名称</w:t>
            </w:r>
          </w:p>
        </w:tc>
        <w:tc>
          <w:tcPr>
            <w:tcW w:w="7073" w:type="dxa"/>
            <w:gridSpan w:val="21"/>
            <w:noWrap w:val="0"/>
            <w:vAlign w:val="center"/>
          </w:tcPr>
          <w:p>
            <w:pPr>
              <w:pStyle w:val="16"/>
              <w:rPr>
                <w:rFonts w:hint="default" w:eastAsia="宋体"/>
                <w:sz w:val="24"/>
                <w:szCs w:val="24"/>
                <w:lang w:val="en-US" w:eastAsia="zh-CN"/>
              </w:rPr>
            </w:pPr>
            <w:r>
              <w:rPr>
                <w:rFonts w:hint="eastAsia" w:ascii="宋体" w:hAnsi="宋体" w:cs="宋体"/>
                <w:color w:val="auto"/>
                <w:kern w:val="0"/>
                <w:sz w:val="24"/>
                <w:szCs w:val="24"/>
                <w:lang w:val="en-US" w:eastAsia="zh-CN"/>
              </w:rPr>
              <w:t>桃江县鸬鹚渡镇蒋家冲村曹家湾山溪水饮用水水源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1474" w:type="dxa"/>
            <w:gridSpan w:val="2"/>
            <w:noWrap w:val="0"/>
            <w:vAlign w:val="center"/>
          </w:tcPr>
          <w:p>
            <w:pPr>
              <w:pStyle w:val="16"/>
              <w:rPr>
                <w:rFonts w:hint="eastAsia"/>
                <w:b/>
                <w:bCs/>
                <w:sz w:val="24"/>
                <w:szCs w:val="24"/>
              </w:rPr>
            </w:pPr>
            <w:r>
              <w:rPr>
                <w:rFonts w:hint="eastAsia"/>
                <w:b/>
                <w:bCs/>
                <w:sz w:val="24"/>
                <w:szCs w:val="24"/>
              </w:rPr>
              <w:t>对应水厂名称</w:t>
            </w:r>
          </w:p>
        </w:tc>
        <w:tc>
          <w:tcPr>
            <w:tcW w:w="4099" w:type="dxa"/>
            <w:gridSpan w:val="15"/>
            <w:noWrap w:val="0"/>
            <w:vAlign w:val="center"/>
          </w:tcPr>
          <w:p>
            <w:pPr>
              <w:pStyle w:val="16"/>
              <w:rPr>
                <w:rFonts w:hint="default" w:eastAsia="宋体"/>
                <w:sz w:val="24"/>
                <w:szCs w:val="24"/>
                <w:lang w:val="en-US" w:eastAsia="zh-CN"/>
              </w:rPr>
            </w:pPr>
            <w:r>
              <w:rPr>
                <w:rFonts w:hint="eastAsia" w:ascii="宋体" w:hAnsi="宋体" w:cs="宋体"/>
                <w:color w:val="auto"/>
                <w:kern w:val="0"/>
                <w:sz w:val="24"/>
                <w:szCs w:val="24"/>
                <w:lang w:val="en-US" w:eastAsia="zh-CN"/>
              </w:rPr>
              <w:t>桃江县鸬鹚渡镇曹家湾水厂</w:t>
            </w:r>
          </w:p>
        </w:tc>
        <w:tc>
          <w:tcPr>
            <w:tcW w:w="1226" w:type="dxa"/>
            <w:gridSpan w:val="4"/>
            <w:noWrap w:val="0"/>
            <w:vAlign w:val="center"/>
          </w:tcPr>
          <w:p>
            <w:pPr>
              <w:pStyle w:val="16"/>
              <w:rPr>
                <w:rFonts w:hint="eastAsia"/>
                <w:b/>
                <w:bCs/>
                <w:sz w:val="24"/>
                <w:szCs w:val="24"/>
              </w:rPr>
            </w:pPr>
            <w:r>
              <w:rPr>
                <w:rFonts w:hint="eastAsia"/>
                <w:b/>
                <w:bCs/>
                <w:sz w:val="24"/>
                <w:szCs w:val="24"/>
              </w:rPr>
              <w:t>水源地编码</w:t>
            </w:r>
          </w:p>
        </w:tc>
        <w:tc>
          <w:tcPr>
            <w:tcW w:w="1748" w:type="dxa"/>
            <w:gridSpan w:val="2"/>
            <w:noWrap w:val="0"/>
            <w:vAlign w:val="center"/>
          </w:tcPr>
          <w:p>
            <w:pPr>
              <w:pStyle w:val="16"/>
              <w:rPr>
                <w:rFonts w:hint="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74" w:type="dxa"/>
            <w:gridSpan w:val="2"/>
            <w:noWrap w:val="0"/>
            <w:vAlign w:val="center"/>
          </w:tcPr>
          <w:p>
            <w:pPr>
              <w:pStyle w:val="16"/>
              <w:rPr>
                <w:rFonts w:hint="eastAsia"/>
                <w:b/>
                <w:bCs/>
                <w:sz w:val="24"/>
                <w:szCs w:val="24"/>
              </w:rPr>
            </w:pPr>
            <w:r>
              <w:rPr>
                <w:rFonts w:hint="eastAsia"/>
                <w:b/>
                <w:bCs/>
                <w:sz w:val="24"/>
                <w:szCs w:val="24"/>
              </w:rPr>
              <w:t>所属流域</w:t>
            </w:r>
          </w:p>
        </w:tc>
        <w:tc>
          <w:tcPr>
            <w:tcW w:w="1622" w:type="dxa"/>
            <w:gridSpan w:val="6"/>
            <w:noWrap w:val="0"/>
            <w:vAlign w:val="center"/>
          </w:tcPr>
          <w:p>
            <w:pPr>
              <w:pStyle w:val="16"/>
              <w:rPr>
                <w:rFonts w:hint="eastAsia"/>
                <w:sz w:val="24"/>
                <w:szCs w:val="24"/>
              </w:rPr>
            </w:pPr>
            <w:r>
              <w:rPr>
                <w:rFonts w:hint="eastAsia" w:ascii="Wingdings 2" w:hAnsi="Wingdings 2" w:cs="Wingdings 2"/>
                <w:sz w:val="24"/>
                <w:szCs w:val="24"/>
                <w:lang w:val="en-US" w:eastAsia="zh-CN"/>
              </w:rPr>
              <w:sym w:font="Wingdings 2" w:char="00A3"/>
            </w:r>
            <w:r>
              <w:rPr>
                <w:rFonts w:hint="eastAsia"/>
                <w:sz w:val="24"/>
                <w:szCs w:val="24"/>
              </w:rPr>
              <w:t>湘、</w:t>
            </w:r>
            <w:r>
              <w:rPr>
                <w:rFonts w:hint="eastAsia" w:ascii="宋体" w:hAnsi="宋体"/>
                <w:sz w:val="24"/>
                <w:szCs w:val="24"/>
              </w:rPr>
              <w:sym w:font="Wingdings 2" w:char="0052"/>
            </w:r>
            <w:r>
              <w:rPr>
                <w:rFonts w:hint="eastAsia"/>
                <w:sz w:val="24"/>
                <w:szCs w:val="24"/>
              </w:rPr>
              <w:t>资、</w:t>
            </w:r>
            <w:r>
              <w:rPr>
                <w:rFonts w:hint="default" w:ascii="Wingdings 2" w:hAnsi="Wingdings 2" w:cs="Wingdings 2"/>
                <w:sz w:val="24"/>
                <w:szCs w:val="24"/>
              </w:rPr>
              <w:t>□</w:t>
            </w:r>
            <w:r>
              <w:rPr>
                <w:rFonts w:hint="eastAsia"/>
                <w:sz w:val="24"/>
                <w:szCs w:val="24"/>
              </w:rPr>
              <w:t>沅、</w:t>
            </w:r>
            <w:r>
              <w:rPr>
                <w:rFonts w:hint="eastAsia" w:ascii="宋体" w:hAnsi="宋体"/>
                <w:sz w:val="24"/>
                <w:szCs w:val="24"/>
              </w:rPr>
              <w:t>□</w:t>
            </w:r>
            <w:r>
              <w:rPr>
                <w:rFonts w:hint="eastAsia"/>
                <w:sz w:val="24"/>
                <w:szCs w:val="24"/>
              </w:rPr>
              <w:t>澧、</w:t>
            </w:r>
            <w:r>
              <w:rPr>
                <w:rFonts w:hint="eastAsia" w:ascii="宋体" w:hAnsi="宋体"/>
                <w:sz w:val="24"/>
                <w:szCs w:val="24"/>
              </w:rPr>
              <w:t>□洞庭湖</w:t>
            </w:r>
          </w:p>
        </w:tc>
        <w:tc>
          <w:tcPr>
            <w:tcW w:w="907" w:type="dxa"/>
            <w:gridSpan w:val="3"/>
            <w:noWrap w:val="0"/>
            <w:vAlign w:val="center"/>
          </w:tcPr>
          <w:p>
            <w:pPr>
              <w:pStyle w:val="16"/>
              <w:rPr>
                <w:rFonts w:hint="eastAsia"/>
                <w:sz w:val="24"/>
                <w:szCs w:val="24"/>
              </w:rPr>
            </w:pPr>
            <w:r>
              <w:rPr>
                <w:rFonts w:hint="eastAsia"/>
                <w:sz w:val="24"/>
                <w:szCs w:val="24"/>
              </w:rPr>
              <w:t>所属一级支流</w:t>
            </w:r>
          </w:p>
        </w:tc>
        <w:tc>
          <w:tcPr>
            <w:tcW w:w="1570" w:type="dxa"/>
            <w:gridSpan w:val="6"/>
            <w:noWrap w:val="0"/>
            <w:vAlign w:val="center"/>
          </w:tcPr>
          <w:p>
            <w:pPr>
              <w:pStyle w:val="16"/>
              <w:rPr>
                <w:rFonts w:hint="default" w:eastAsia="宋体"/>
                <w:sz w:val="24"/>
                <w:szCs w:val="24"/>
                <w:lang w:val="en-US" w:eastAsia="zh-CN"/>
              </w:rPr>
            </w:pPr>
            <w:r>
              <w:rPr>
                <w:rFonts w:hint="eastAsia"/>
                <w:sz w:val="24"/>
                <w:szCs w:val="24"/>
                <w:lang w:val="en-US" w:eastAsia="zh-CN"/>
              </w:rPr>
              <w:t>/</w:t>
            </w:r>
          </w:p>
        </w:tc>
        <w:tc>
          <w:tcPr>
            <w:tcW w:w="1226" w:type="dxa"/>
            <w:gridSpan w:val="4"/>
            <w:noWrap w:val="0"/>
            <w:vAlign w:val="center"/>
          </w:tcPr>
          <w:p>
            <w:pPr>
              <w:pStyle w:val="16"/>
              <w:rPr>
                <w:rFonts w:hint="eastAsia"/>
                <w:b/>
                <w:bCs/>
                <w:sz w:val="24"/>
                <w:szCs w:val="24"/>
              </w:rPr>
            </w:pPr>
            <w:r>
              <w:rPr>
                <w:rFonts w:hint="eastAsia"/>
                <w:b/>
                <w:bCs/>
                <w:sz w:val="24"/>
                <w:szCs w:val="24"/>
              </w:rPr>
              <w:t>所在河流、湖泊（水库）</w:t>
            </w:r>
          </w:p>
        </w:tc>
        <w:tc>
          <w:tcPr>
            <w:tcW w:w="1748" w:type="dxa"/>
            <w:gridSpan w:val="2"/>
            <w:noWrap w:val="0"/>
            <w:vAlign w:val="center"/>
          </w:tcPr>
          <w:p>
            <w:pPr>
              <w:pStyle w:val="16"/>
              <w:rPr>
                <w:rFonts w:hint="eastAsia"/>
                <w:sz w:val="24"/>
                <w:szCs w:val="24"/>
              </w:rPr>
            </w:pPr>
            <w:r>
              <w:rPr>
                <w:rFonts w:hint="eastAsia"/>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2"/>
            <w:noWrap w:val="0"/>
            <w:vAlign w:val="center"/>
          </w:tcPr>
          <w:p>
            <w:pPr>
              <w:pStyle w:val="16"/>
              <w:rPr>
                <w:b/>
                <w:bCs/>
                <w:sz w:val="24"/>
                <w:szCs w:val="24"/>
              </w:rPr>
            </w:pPr>
            <w:r>
              <w:rPr>
                <w:rFonts w:hint="eastAsia"/>
                <w:b/>
                <w:bCs/>
                <w:sz w:val="24"/>
                <w:szCs w:val="24"/>
              </w:rPr>
              <w:t>所在市、州</w:t>
            </w:r>
          </w:p>
        </w:tc>
        <w:tc>
          <w:tcPr>
            <w:tcW w:w="1057" w:type="dxa"/>
            <w:gridSpan w:val="5"/>
            <w:noWrap w:val="0"/>
            <w:vAlign w:val="center"/>
          </w:tcPr>
          <w:p>
            <w:pPr>
              <w:pStyle w:val="16"/>
              <w:rPr>
                <w:rFonts w:hint="default" w:eastAsia="宋体"/>
                <w:sz w:val="24"/>
                <w:szCs w:val="24"/>
                <w:lang w:val="en-US" w:eastAsia="zh-CN"/>
              </w:rPr>
            </w:pPr>
            <w:r>
              <w:rPr>
                <w:rFonts w:hint="eastAsia"/>
                <w:sz w:val="24"/>
                <w:szCs w:val="24"/>
                <w:lang w:val="en-US" w:eastAsia="zh-CN"/>
              </w:rPr>
              <w:t>益阳市</w:t>
            </w:r>
          </w:p>
        </w:tc>
        <w:tc>
          <w:tcPr>
            <w:tcW w:w="1903" w:type="dxa"/>
            <w:gridSpan w:val="6"/>
            <w:noWrap w:val="0"/>
            <w:vAlign w:val="center"/>
          </w:tcPr>
          <w:p>
            <w:pPr>
              <w:pStyle w:val="16"/>
              <w:rPr>
                <w:b/>
                <w:bCs/>
                <w:sz w:val="24"/>
                <w:szCs w:val="24"/>
              </w:rPr>
            </w:pPr>
            <w:r>
              <w:rPr>
                <w:rFonts w:hint="eastAsia"/>
                <w:b/>
                <w:bCs/>
                <w:sz w:val="24"/>
                <w:szCs w:val="24"/>
              </w:rPr>
              <w:t>所在县、市、区</w:t>
            </w:r>
          </w:p>
        </w:tc>
        <w:tc>
          <w:tcPr>
            <w:tcW w:w="1417" w:type="dxa"/>
            <w:gridSpan w:val="6"/>
            <w:noWrap w:val="0"/>
            <w:vAlign w:val="center"/>
          </w:tcPr>
          <w:p>
            <w:pPr>
              <w:pStyle w:val="16"/>
              <w:rPr>
                <w:rFonts w:hint="default" w:eastAsia="宋体"/>
                <w:sz w:val="24"/>
                <w:szCs w:val="24"/>
                <w:lang w:val="en-US" w:eastAsia="zh-CN"/>
              </w:rPr>
            </w:pPr>
            <w:r>
              <w:rPr>
                <w:rFonts w:hint="eastAsia"/>
                <w:sz w:val="24"/>
                <w:szCs w:val="24"/>
                <w:lang w:val="en-US" w:eastAsia="zh-CN"/>
              </w:rPr>
              <w:t>桃江县</w:t>
            </w:r>
          </w:p>
        </w:tc>
        <w:tc>
          <w:tcPr>
            <w:tcW w:w="1386" w:type="dxa"/>
            <w:gridSpan w:val="3"/>
            <w:noWrap w:val="0"/>
            <w:vAlign w:val="center"/>
          </w:tcPr>
          <w:p>
            <w:pPr>
              <w:pStyle w:val="16"/>
              <w:rPr>
                <w:b/>
                <w:bCs/>
                <w:sz w:val="24"/>
                <w:szCs w:val="24"/>
              </w:rPr>
            </w:pPr>
            <w:r>
              <w:rPr>
                <w:rFonts w:hint="eastAsia"/>
                <w:b/>
                <w:bCs/>
                <w:sz w:val="24"/>
                <w:szCs w:val="24"/>
              </w:rPr>
              <w:t>所在乡镇</w:t>
            </w:r>
          </w:p>
        </w:tc>
        <w:tc>
          <w:tcPr>
            <w:tcW w:w="1310" w:type="dxa"/>
            <w:noWrap w:val="0"/>
            <w:vAlign w:val="center"/>
          </w:tcPr>
          <w:p>
            <w:pPr>
              <w:pStyle w:val="16"/>
              <w:rPr>
                <w:sz w:val="24"/>
                <w:szCs w:val="24"/>
              </w:rPr>
            </w:pPr>
            <w:r>
              <w:rPr>
                <w:rFonts w:hint="eastAsia"/>
                <w:sz w:val="24"/>
                <w:szCs w:val="24"/>
                <w:lang w:val="en-US" w:eastAsia="zh-CN"/>
              </w:rPr>
              <w:t>鸬鹚渡镇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9" w:hRule="exact"/>
          <w:jc w:val="center"/>
        </w:trPr>
        <w:tc>
          <w:tcPr>
            <w:tcW w:w="1474" w:type="dxa"/>
            <w:gridSpan w:val="2"/>
            <w:noWrap w:val="0"/>
            <w:vAlign w:val="center"/>
          </w:tcPr>
          <w:p>
            <w:pPr>
              <w:pStyle w:val="16"/>
              <w:rPr>
                <w:rFonts w:hint="eastAsia"/>
                <w:b/>
                <w:bCs/>
                <w:sz w:val="24"/>
                <w:szCs w:val="24"/>
              </w:rPr>
            </w:pPr>
            <w:r>
              <w:rPr>
                <w:rFonts w:hint="eastAsia"/>
                <w:b/>
                <w:bCs/>
                <w:sz w:val="24"/>
                <w:szCs w:val="24"/>
                <w:lang w:eastAsia="zh-CN"/>
              </w:rPr>
              <w:t>工作背景</w:t>
            </w:r>
          </w:p>
        </w:tc>
        <w:tc>
          <w:tcPr>
            <w:tcW w:w="7073" w:type="dxa"/>
            <w:gridSpan w:val="21"/>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桃江县鸬鹚渡镇蒋家村原有鸬鹚渡镇蒋家村供水工程，以舒家庵溪作为水源点，其供水范围为蒋家村，设计供水人口2179人，实际供水人口为3000人，设计日供水量为150，取水口的经纬度为E111°56'19.2988",N28°21'19.4820"，于2015年12月投入供水。2021年6月，益阳市生态环境局桃江分局委托湖南坤诚检测技术有限公司编制了《益阳市桃江县鸬鹚渡镇蒋家村舒家庵溪饮用水水源保护区划分技术报告》。2022年下半年以来，气候异常恶劣，长时间干旱，舒家庵溪溪水水量大幅度减少，水量及其不稳定，由于水量减少，水压随之减小，大部分地势较高的村民无法满足用水要求。为保障居民用水问题，镇党委通报县水利局、县生态环境局，联合各单位多次现场调研，最终决定新增</w:t>
            </w:r>
            <w:r>
              <w:rPr>
                <w:rFonts w:hint="eastAsia" w:ascii="宋体" w:hAnsi="宋体" w:cs="宋体"/>
                <w:color w:val="auto"/>
                <w:kern w:val="0"/>
                <w:sz w:val="24"/>
                <w:szCs w:val="24"/>
                <w:lang w:val="en-US" w:eastAsia="zh-CN"/>
              </w:rPr>
              <w:t>鸬鹚渡镇蒋家冲村夏家湾山溪、鸬鹚渡镇蒋家冲村曹家湾山溪两处水源地，对原舒家湾水厂的水源进行置换，同时新建曹家湾水厂、夏家湾水厂。履行正常手续，</w:t>
            </w:r>
            <w:r>
              <w:rPr>
                <w:rFonts w:hint="eastAsia"/>
                <w:sz w:val="24"/>
                <w:szCs w:val="24"/>
                <w:lang w:val="en-US" w:eastAsia="zh-CN"/>
              </w:rPr>
              <w:t>桃江县鸬鹚渡镇人民政府委托湖南湘健环保科技有限公司对拟建</w:t>
            </w:r>
            <w:r>
              <w:rPr>
                <w:rFonts w:hint="eastAsia" w:ascii="宋体" w:hAnsi="宋体" w:cs="宋体"/>
                <w:color w:val="auto"/>
                <w:kern w:val="0"/>
                <w:sz w:val="24"/>
                <w:szCs w:val="24"/>
                <w:lang w:val="en-US" w:eastAsia="zh-CN"/>
              </w:rPr>
              <w:t>桃江县鸬鹚渡镇蒋家冲村曹家湾水厂水源编制饮用水水源保护区划分技术报告表。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2"/>
            <w:noWrap w:val="0"/>
            <w:vAlign w:val="center"/>
          </w:tcPr>
          <w:p>
            <w:pPr>
              <w:pStyle w:val="16"/>
              <w:rPr>
                <w:rFonts w:hint="eastAsia"/>
                <w:b/>
                <w:bCs/>
                <w:sz w:val="24"/>
                <w:szCs w:val="24"/>
              </w:rPr>
            </w:pPr>
            <w:r>
              <w:rPr>
                <w:rFonts w:hint="eastAsia"/>
                <w:b/>
                <w:bCs/>
                <w:sz w:val="24"/>
                <w:szCs w:val="24"/>
              </w:rPr>
              <w:t>服务人口（万）</w:t>
            </w:r>
          </w:p>
        </w:tc>
        <w:tc>
          <w:tcPr>
            <w:tcW w:w="1057" w:type="dxa"/>
            <w:gridSpan w:val="5"/>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0.1</w:t>
            </w:r>
          </w:p>
        </w:tc>
        <w:tc>
          <w:tcPr>
            <w:tcW w:w="1903" w:type="dxa"/>
            <w:gridSpan w:val="6"/>
            <w:noWrap w:val="0"/>
            <w:vAlign w:val="center"/>
          </w:tcPr>
          <w:p>
            <w:pPr>
              <w:pStyle w:val="16"/>
              <w:rPr>
                <w:rFonts w:hint="eastAsia"/>
                <w:b/>
                <w:bCs/>
                <w:sz w:val="24"/>
                <w:szCs w:val="24"/>
                <w:highlight w:val="none"/>
              </w:rPr>
            </w:pPr>
            <w:r>
              <w:rPr>
                <w:rFonts w:hint="eastAsia"/>
                <w:b/>
                <w:bCs/>
                <w:sz w:val="24"/>
                <w:szCs w:val="24"/>
                <w:highlight w:val="none"/>
              </w:rPr>
              <w:t>服务范围</w:t>
            </w:r>
          </w:p>
        </w:tc>
        <w:tc>
          <w:tcPr>
            <w:tcW w:w="4113" w:type="dxa"/>
            <w:gridSpan w:val="10"/>
            <w:noWrap w:val="0"/>
            <w:vAlign w:val="center"/>
          </w:tcPr>
          <w:p>
            <w:pPr>
              <w:pStyle w:val="16"/>
              <w:rPr>
                <w:rFonts w:hint="eastAsia" w:eastAsia="宋体"/>
                <w:sz w:val="24"/>
                <w:szCs w:val="24"/>
                <w:highlight w:val="none"/>
                <w:lang w:val="en-US" w:eastAsia="zh-CN"/>
              </w:rPr>
            </w:pPr>
            <w:r>
              <w:rPr>
                <w:rFonts w:hint="eastAsia"/>
                <w:sz w:val="24"/>
                <w:szCs w:val="24"/>
                <w:highlight w:val="none"/>
                <w:lang w:val="en-US" w:eastAsia="zh-CN"/>
              </w:rPr>
              <w:t>蒋家冲村曹家湾、胡家湾、刘伏洞等村名小组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2"/>
            <w:noWrap w:val="0"/>
            <w:vAlign w:val="center"/>
          </w:tcPr>
          <w:p>
            <w:pPr>
              <w:pStyle w:val="16"/>
              <w:rPr>
                <w:rFonts w:hint="eastAsia"/>
                <w:b/>
                <w:bCs/>
                <w:sz w:val="24"/>
                <w:szCs w:val="24"/>
              </w:rPr>
            </w:pPr>
            <w:r>
              <w:rPr>
                <w:rFonts w:hint="eastAsia"/>
                <w:b/>
                <w:bCs/>
                <w:sz w:val="24"/>
                <w:szCs w:val="24"/>
              </w:rPr>
              <w:t>设计取水规模（吨/日）</w:t>
            </w:r>
          </w:p>
        </w:tc>
        <w:tc>
          <w:tcPr>
            <w:tcW w:w="1057" w:type="dxa"/>
            <w:gridSpan w:val="5"/>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280</w:t>
            </w:r>
          </w:p>
        </w:tc>
        <w:tc>
          <w:tcPr>
            <w:tcW w:w="1903" w:type="dxa"/>
            <w:gridSpan w:val="6"/>
            <w:noWrap w:val="0"/>
            <w:vAlign w:val="center"/>
          </w:tcPr>
          <w:p>
            <w:pPr>
              <w:pStyle w:val="16"/>
              <w:rPr>
                <w:rFonts w:hint="eastAsia"/>
                <w:b/>
                <w:bCs/>
                <w:sz w:val="24"/>
                <w:szCs w:val="24"/>
                <w:highlight w:val="none"/>
              </w:rPr>
            </w:pPr>
            <w:r>
              <w:rPr>
                <w:rFonts w:hint="eastAsia"/>
                <w:b/>
                <w:bCs/>
                <w:sz w:val="24"/>
                <w:szCs w:val="24"/>
                <w:highlight w:val="none"/>
              </w:rPr>
              <w:t>实际取水规模（吨/日）</w:t>
            </w:r>
          </w:p>
        </w:tc>
        <w:tc>
          <w:tcPr>
            <w:tcW w:w="1139" w:type="dxa"/>
            <w:gridSpan w:val="4"/>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w:t>
            </w:r>
          </w:p>
        </w:tc>
        <w:tc>
          <w:tcPr>
            <w:tcW w:w="840" w:type="dxa"/>
            <w:gridSpan w:val="3"/>
            <w:noWrap w:val="0"/>
            <w:vAlign w:val="center"/>
          </w:tcPr>
          <w:p>
            <w:pPr>
              <w:pStyle w:val="16"/>
              <w:rPr>
                <w:b/>
                <w:bCs/>
                <w:sz w:val="24"/>
                <w:szCs w:val="24"/>
              </w:rPr>
            </w:pPr>
            <w:r>
              <w:rPr>
                <w:rFonts w:hint="eastAsia"/>
                <w:b/>
                <w:bCs/>
                <w:sz w:val="24"/>
                <w:szCs w:val="24"/>
              </w:rPr>
              <w:t>投产时间</w:t>
            </w:r>
          </w:p>
        </w:tc>
        <w:tc>
          <w:tcPr>
            <w:tcW w:w="2134" w:type="dxa"/>
            <w:gridSpan w:val="3"/>
            <w:noWrap w:val="0"/>
            <w:vAlign w:val="center"/>
          </w:tcPr>
          <w:p>
            <w:pPr>
              <w:pStyle w:val="16"/>
              <w:rPr>
                <w:rFonts w:hint="default" w:eastAsia="宋体"/>
                <w:sz w:val="24"/>
                <w:szCs w:val="24"/>
                <w:lang w:val="en-US" w:eastAsia="zh-CN"/>
              </w:rPr>
            </w:pPr>
            <w:r>
              <w:rPr>
                <w:rFonts w:hint="eastAsia"/>
                <w:sz w:val="24"/>
                <w:szCs w:val="24"/>
                <w:highlight w:val="yellow"/>
                <w:lang w:val="en-US" w:eastAsia="zh-CN"/>
              </w:rPr>
              <w:t>预计2023年冬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66" w:type="dxa"/>
            <w:noWrap w:val="0"/>
            <w:vAlign w:val="center"/>
          </w:tcPr>
          <w:p>
            <w:pPr>
              <w:pStyle w:val="16"/>
              <w:rPr>
                <w:rFonts w:hint="eastAsia"/>
                <w:b/>
                <w:bCs/>
                <w:sz w:val="24"/>
                <w:szCs w:val="24"/>
              </w:rPr>
            </w:pPr>
            <w:r>
              <w:rPr>
                <w:rFonts w:hint="eastAsia"/>
                <w:b/>
                <w:bCs/>
                <w:sz w:val="24"/>
                <w:szCs w:val="24"/>
              </w:rPr>
              <w:t>规模</w:t>
            </w:r>
          </w:p>
        </w:tc>
        <w:tc>
          <w:tcPr>
            <w:tcW w:w="1366" w:type="dxa"/>
            <w:gridSpan w:val="5"/>
            <w:noWrap w:val="0"/>
            <w:vAlign w:val="center"/>
          </w:tcPr>
          <w:p>
            <w:pPr>
              <w:pStyle w:val="16"/>
              <w:rPr>
                <w:sz w:val="24"/>
                <w:szCs w:val="24"/>
              </w:rPr>
            </w:pPr>
            <w:r>
              <w:rPr>
                <w:rFonts w:hint="eastAsia" w:ascii="宋体" w:hAnsi="宋体"/>
                <w:sz w:val="24"/>
                <w:szCs w:val="24"/>
              </w:rPr>
              <w:sym w:font="Wingdings 2" w:char="00A3"/>
            </w:r>
            <w:r>
              <w:rPr>
                <w:rFonts w:hint="eastAsia"/>
                <w:sz w:val="24"/>
                <w:szCs w:val="24"/>
              </w:rPr>
              <w:t>乡镇千人以上、</w:t>
            </w:r>
            <w:r>
              <w:rPr>
                <w:rFonts w:hint="eastAsia" w:ascii="宋体" w:hAnsi="宋体"/>
                <w:sz w:val="24"/>
                <w:szCs w:val="24"/>
              </w:rPr>
              <w:sym w:font="Wingdings 2" w:char="0052"/>
            </w:r>
            <w:r>
              <w:rPr>
                <w:rFonts w:hint="eastAsia"/>
                <w:sz w:val="24"/>
                <w:szCs w:val="24"/>
              </w:rPr>
              <w:t>农村千人以上</w:t>
            </w:r>
          </w:p>
        </w:tc>
        <w:tc>
          <w:tcPr>
            <w:tcW w:w="928" w:type="dxa"/>
            <w:gridSpan w:val="4"/>
            <w:noWrap w:val="0"/>
            <w:vAlign w:val="center"/>
          </w:tcPr>
          <w:p>
            <w:pPr>
              <w:pStyle w:val="16"/>
              <w:rPr>
                <w:rFonts w:hint="eastAsia"/>
                <w:sz w:val="24"/>
                <w:szCs w:val="24"/>
              </w:rPr>
            </w:pPr>
            <w:r>
              <w:rPr>
                <w:rFonts w:hint="eastAsia"/>
                <w:b/>
                <w:bCs/>
                <w:sz w:val="24"/>
                <w:szCs w:val="24"/>
              </w:rPr>
              <w:t>取水口坐标</w:t>
            </w:r>
          </w:p>
        </w:tc>
        <w:tc>
          <w:tcPr>
            <w:tcW w:w="2144" w:type="dxa"/>
            <w:gridSpan w:val="5"/>
            <w:noWrap w:val="0"/>
            <w:vAlign w:val="center"/>
          </w:tcPr>
          <w:p>
            <w:pPr>
              <w:pStyle w:val="16"/>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111.928971614E</w:t>
            </w:r>
          </w:p>
          <w:p>
            <w:pPr>
              <w:pStyle w:val="16"/>
              <w:jc w:val="center"/>
              <w:rPr>
                <w:rFonts w:hint="eastAsia" w:ascii="Times New Roman" w:hAnsi="Times New Roman" w:cs="Times New Roman"/>
                <w:sz w:val="24"/>
                <w:szCs w:val="24"/>
                <w:lang w:val="en-US" w:eastAsia="zh-CN"/>
              </w:rPr>
            </w:pPr>
            <w:r>
              <w:rPr>
                <w:rFonts w:hint="default" w:ascii="Times New Roman" w:hAnsi="Times New Roman" w:cs="Times New Roman"/>
                <w:sz w:val="24"/>
                <w:szCs w:val="24"/>
              </w:rPr>
              <w:t>28.354407983″</w:t>
            </w:r>
            <w:r>
              <w:rPr>
                <w:rFonts w:hint="eastAsia" w:ascii="Times New Roman" w:hAnsi="Times New Roman" w:cs="Times New Roman"/>
                <w:sz w:val="24"/>
                <w:szCs w:val="24"/>
                <w:lang w:val="en-US" w:eastAsia="zh-CN"/>
              </w:rPr>
              <w:t>N</w:t>
            </w:r>
          </w:p>
          <w:p>
            <w:pPr>
              <w:pStyle w:val="16"/>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406.132</w:t>
            </w:r>
            <w:r>
              <w:rPr>
                <w:rFonts w:hint="eastAsia" w:cs="Times New Roman"/>
                <w:sz w:val="24"/>
                <w:szCs w:val="24"/>
                <w:lang w:val="en-US" w:eastAsia="zh-CN"/>
              </w:rPr>
              <w:t>H</w:t>
            </w:r>
          </w:p>
        </w:tc>
        <w:tc>
          <w:tcPr>
            <w:tcW w:w="1009" w:type="dxa"/>
            <w:gridSpan w:val="5"/>
            <w:noWrap w:val="0"/>
            <w:vAlign w:val="center"/>
          </w:tcPr>
          <w:p>
            <w:pPr>
              <w:pStyle w:val="16"/>
              <w:rPr>
                <w:rFonts w:hint="eastAsia"/>
                <w:b/>
                <w:bCs/>
                <w:sz w:val="24"/>
                <w:szCs w:val="24"/>
              </w:rPr>
            </w:pPr>
            <w:r>
              <w:rPr>
                <w:rFonts w:hint="eastAsia"/>
                <w:b/>
                <w:bCs/>
                <w:sz w:val="24"/>
                <w:szCs w:val="24"/>
              </w:rPr>
              <w:t>监测断面坐标</w:t>
            </w:r>
          </w:p>
        </w:tc>
        <w:tc>
          <w:tcPr>
            <w:tcW w:w="2134" w:type="dxa"/>
            <w:gridSpan w:val="3"/>
            <w:noWrap w:val="0"/>
            <w:vAlign w:val="center"/>
          </w:tcPr>
          <w:p>
            <w:pPr>
              <w:pStyle w:val="16"/>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111.928971614E</w:t>
            </w:r>
          </w:p>
          <w:p>
            <w:pPr>
              <w:pStyle w:val="16"/>
              <w:jc w:val="center"/>
              <w:rPr>
                <w:rFonts w:hint="eastAsia" w:ascii="Times New Roman" w:hAnsi="Times New Roman" w:cs="Times New Roman"/>
                <w:sz w:val="24"/>
                <w:szCs w:val="24"/>
                <w:lang w:val="en-US" w:eastAsia="zh-CN"/>
              </w:rPr>
            </w:pPr>
            <w:r>
              <w:rPr>
                <w:rFonts w:hint="default" w:ascii="Times New Roman" w:hAnsi="Times New Roman" w:cs="Times New Roman"/>
                <w:sz w:val="24"/>
                <w:szCs w:val="24"/>
              </w:rPr>
              <w:t>28.354407983″</w:t>
            </w:r>
            <w:r>
              <w:rPr>
                <w:rFonts w:hint="eastAsia" w:ascii="Times New Roman" w:hAnsi="Times New Roman" w:cs="Times New Roman"/>
                <w:sz w:val="24"/>
                <w:szCs w:val="24"/>
                <w:lang w:val="en-US" w:eastAsia="zh-CN"/>
              </w:rPr>
              <w:t>N</w:t>
            </w:r>
          </w:p>
          <w:p>
            <w:pPr>
              <w:pStyle w:val="16"/>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406.132</w:t>
            </w:r>
            <w:r>
              <w:rPr>
                <w:rFonts w:hint="eastAsia" w:cs="Times New Roman"/>
                <w:sz w:val="24"/>
                <w:szCs w:val="24"/>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4" w:hRule="exact"/>
          <w:jc w:val="center"/>
        </w:trPr>
        <w:tc>
          <w:tcPr>
            <w:tcW w:w="966" w:type="dxa"/>
            <w:noWrap w:val="0"/>
            <w:vAlign w:val="center"/>
          </w:tcPr>
          <w:p>
            <w:pPr>
              <w:pStyle w:val="16"/>
              <w:rPr>
                <w:rFonts w:hint="eastAsia"/>
                <w:b/>
                <w:bCs/>
                <w:sz w:val="24"/>
                <w:szCs w:val="24"/>
              </w:rPr>
            </w:pPr>
            <w:r>
              <w:rPr>
                <w:rFonts w:hint="eastAsia"/>
                <w:b/>
                <w:bCs/>
                <w:sz w:val="24"/>
                <w:szCs w:val="24"/>
              </w:rPr>
              <w:t>使用状态</w:t>
            </w:r>
          </w:p>
        </w:tc>
        <w:tc>
          <w:tcPr>
            <w:tcW w:w="762" w:type="dxa"/>
            <w:gridSpan w:val="2"/>
            <w:noWrap w:val="0"/>
            <w:vAlign w:val="center"/>
          </w:tcPr>
          <w:p>
            <w:pPr>
              <w:pStyle w:val="16"/>
              <w:rPr>
                <w:sz w:val="24"/>
                <w:szCs w:val="24"/>
              </w:rPr>
            </w:pPr>
            <w:r>
              <w:rPr>
                <w:rFonts w:hint="eastAsia" w:ascii="宋体" w:hAnsi="宋体"/>
                <w:sz w:val="24"/>
                <w:szCs w:val="24"/>
              </w:rPr>
              <w:sym w:font="Wingdings 2" w:char="00A3"/>
            </w:r>
            <w:r>
              <w:rPr>
                <w:rFonts w:hint="eastAsia"/>
                <w:sz w:val="24"/>
                <w:szCs w:val="24"/>
              </w:rPr>
              <w:t>在用</w:t>
            </w:r>
            <w:r>
              <w:rPr>
                <w:rFonts w:hint="eastAsia" w:ascii="宋体" w:hAnsi="宋体"/>
                <w:sz w:val="24"/>
                <w:szCs w:val="24"/>
              </w:rPr>
              <w:t>□</w:t>
            </w:r>
            <w:r>
              <w:rPr>
                <w:rFonts w:hint="eastAsia"/>
                <w:sz w:val="24"/>
                <w:szCs w:val="24"/>
              </w:rPr>
              <w:t>在建</w:t>
            </w:r>
            <w:r>
              <w:rPr>
                <w:rFonts w:hint="eastAsia" w:ascii="宋体" w:hAnsi="宋体"/>
                <w:sz w:val="24"/>
                <w:szCs w:val="24"/>
              </w:rPr>
              <w:sym w:font="Wingdings 2" w:char="0052"/>
            </w:r>
            <w:r>
              <w:rPr>
                <w:rFonts w:hint="eastAsia"/>
                <w:sz w:val="24"/>
                <w:szCs w:val="24"/>
              </w:rPr>
              <w:t>规划</w:t>
            </w:r>
            <w:r>
              <w:rPr>
                <w:rFonts w:hint="eastAsia" w:ascii="宋体" w:hAnsi="宋体"/>
                <w:sz w:val="24"/>
                <w:szCs w:val="24"/>
              </w:rPr>
              <w:t>□</w:t>
            </w:r>
            <w:r>
              <w:rPr>
                <w:rFonts w:hint="eastAsia"/>
                <w:sz w:val="24"/>
                <w:szCs w:val="24"/>
              </w:rPr>
              <w:t>备用</w:t>
            </w:r>
          </w:p>
        </w:tc>
        <w:tc>
          <w:tcPr>
            <w:tcW w:w="604" w:type="dxa"/>
            <w:gridSpan w:val="3"/>
            <w:noWrap w:val="0"/>
            <w:vAlign w:val="center"/>
          </w:tcPr>
          <w:p>
            <w:pPr>
              <w:pStyle w:val="16"/>
              <w:rPr>
                <w:rFonts w:hint="eastAsia"/>
                <w:sz w:val="24"/>
                <w:szCs w:val="24"/>
              </w:rPr>
            </w:pPr>
            <w:r>
              <w:rPr>
                <w:rFonts w:hint="eastAsia"/>
                <w:b/>
                <w:bCs/>
                <w:sz w:val="24"/>
                <w:szCs w:val="24"/>
              </w:rPr>
              <w:t>水质情况</w:t>
            </w:r>
          </w:p>
        </w:tc>
        <w:tc>
          <w:tcPr>
            <w:tcW w:w="3519" w:type="dxa"/>
            <w:gridSpan w:val="13"/>
            <w:noWrap w:val="0"/>
            <w:vAlign w:val="center"/>
          </w:tcPr>
          <w:p>
            <w:pPr>
              <w:pStyle w:val="16"/>
              <w:keepNext w:val="0"/>
              <w:keepLines w:val="0"/>
              <w:pageBreakBefore w:val="0"/>
              <w:widowControl w:val="0"/>
              <w:kinsoku/>
              <w:wordWrap/>
              <w:overflowPunct/>
              <w:topLinePunct w:val="0"/>
              <w:autoSpaceDE/>
              <w:autoSpaceDN/>
              <w:bidi w:val="0"/>
              <w:adjustRightInd/>
              <w:snapToGrid/>
              <w:spacing w:line="324" w:lineRule="auto"/>
              <w:textAlignment w:val="auto"/>
              <w:rPr>
                <w:rFonts w:hint="default" w:eastAsia="宋体"/>
                <w:sz w:val="24"/>
                <w:szCs w:val="24"/>
                <w:lang w:val="en-US" w:eastAsia="zh-CN"/>
              </w:rPr>
            </w:pPr>
            <w:r>
              <w:rPr>
                <w:rFonts w:hint="eastAsia"/>
                <w:sz w:val="24"/>
                <w:szCs w:val="24"/>
                <w:lang w:val="en-US" w:eastAsia="zh-CN"/>
              </w:rPr>
              <w:t>桃江鸬鹚渡镇蒋家冲村夏家湾山溪水饮用水水源地经2023年06月19日取样监测，</w:t>
            </w:r>
            <w:r>
              <w:rPr>
                <w:rFonts w:hint="eastAsia" w:cs="Times New Roman"/>
                <w:sz w:val="24"/>
                <w:szCs w:val="24"/>
                <w:lang w:val="en-US" w:eastAsia="zh-CN"/>
              </w:rPr>
              <w:t>61项所测因子表1的基本项目（总共24项）除总氮不参与评价外，其余均满足《地表水环境质量标准》（GB3838-2002）表1中Ⅱ类标准限值；表2的补充项目（5项）和表3中的特定项目（33项）满足《地表水环境质量标准》（GB3838-2002）中表2、表3标准限值。详见</w:t>
            </w:r>
            <w:r>
              <w:rPr>
                <w:rFonts w:hint="eastAsia" w:cs="Times New Roman"/>
                <w:sz w:val="24"/>
                <w:szCs w:val="24"/>
                <w:highlight w:val="none"/>
                <w:lang w:val="en-US" w:eastAsia="zh-CN"/>
              </w:rPr>
              <w:t>附件1水质监</w:t>
            </w:r>
            <w:r>
              <w:rPr>
                <w:rFonts w:hint="eastAsia" w:cs="Times New Roman"/>
                <w:sz w:val="24"/>
                <w:szCs w:val="24"/>
                <w:lang w:val="en-US" w:eastAsia="zh-CN"/>
              </w:rPr>
              <w:t>测报告。</w:t>
            </w:r>
          </w:p>
        </w:tc>
        <w:tc>
          <w:tcPr>
            <w:tcW w:w="562" w:type="dxa"/>
            <w:noWrap w:val="0"/>
            <w:vAlign w:val="center"/>
          </w:tcPr>
          <w:p>
            <w:pPr>
              <w:pStyle w:val="16"/>
              <w:rPr>
                <w:rFonts w:hint="eastAsia"/>
                <w:b/>
                <w:bCs/>
                <w:sz w:val="24"/>
                <w:szCs w:val="24"/>
              </w:rPr>
            </w:pPr>
            <w:r>
              <w:rPr>
                <w:rFonts w:hint="eastAsia"/>
                <w:b/>
                <w:bCs/>
                <w:sz w:val="24"/>
                <w:szCs w:val="24"/>
              </w:rPr>
              <w:t>水量情况</w:t>
            </w:r>
          </w:p>
        </w:tc>
        <w:tc>
          <w:tcPr>
            <w:tcW w:w="2134" w:type="dxa"/>
            <w:gridSpan w:val="3"/>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val="en-US" w:eastAsia="zh-CN"/>
              </w:rPr>
            </w:pPr>
            <w:r>
              <w:rPr>
                <w:rFonts w:hint="eastAsia"/>
                <w:b w:val="0"/>
                <w:bCs w:val="0"/>
                <w:color w:val="auto"/>
                <w:sz w:val="24"/>
                <w:szCs w:val="24"/>
                <w:lang w:val="en-US" w:eastAsia="zh-CN"/>
              </w:rPr>
              <w:t>根据益阳智诚环保科技有限公司编制曹家湾（夏家湾）水厂取水水资源论证报告表结论，详</w:t>
            </w:r>
            <w:r>
              <w:rPr>
                <w:rFonts w:hint="eastAsia"/>
                <w:b w:val="0"/>
                <w:bCs w:val="0"/>
                <w:color w:val="auto"/>
                <w:sz w:val="24"/>
                <w:szCs w:val="24"/>
                <w:highlight w:val="none"/>
                <w:lang w:val="en-US" w:eastAsia="zh-CN"/>
              </w:rPr>
              <w:t>见附件3水资源论证报告</w:t>
            </w:r>
            <w:r>
              <w:rPr>
                <w:rFonts w:hint="eastAsia"/>
                <w:b w:val="0"/>
                <w:bCs w:val="0"/>
                <w:color w:val="auto"/>
                <w:sz w:val="24"/>
                <w:szCs w:val="24"/>
                <w:lang w:val="en-US" w:eastAsia="zh-CN"/>
              </w:rPr>
              <w:t>及附件4取水许可证。因此，水量可达。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保护区类型</w:t>
            </w:r>
          </w:p>
        </w:tc>
        <w:tc>
          <w:tcPr>
            <w:tcW w:w="1366" w:type="dxa"/>
            <w:gridSpan w:val="5"/>
            <w:noWrap w:val="0"/>
            <w:vAlign w:val="center"/>
          </w:tcPr>
          <w:p>
            <w:pPr>
              <w:pStyle w:val="16"/>
              <w:rPr>
                <w:sz w:val="24"/>
                <w:szCs w:val="24"/>
              </w:rPr>
            </w:pPr>
            <w:r>
              <w:rPr>
                <w:rFonts w:hint="eastAsia" w:ascii="宋体" w:hAnsi="宋体"/>
                <w:sz w:val="24"/>
                <w:szCs w:val="24"/>
              </w:rPr>
              <w:sym w:font="Wingdings 2" w:char="0052"/>
            </w:r>
            <w:r>
              <w:rPr>
                <w:rFonts w:hint="eastAsia"/>
                <w:sz w:val="24"/>
                <w:szCs w:val="24"/>
              </w:rPr>
              <w:t>河流</w:t>
            </w:r>
          </w:p>
        </w:tc>
        <w:tc>
          <w:tcPr>
            <w:tcW w:w="6215" w:type="dxa"/>
            <w:gridSpan w:val="17"/>
            <w:noWrap w:val="0"/>
            <w:vAlign w:val="center"/>
          </w:tcPr>
          <w:p>
            <w:pPr>
              <w:pStyle w:val="16"/>
              <w:jc w:val="left"/>
              <w:rPr>
                <w:sz w:val="24"/>
                <w:szCs w:val="24"/>
              </w:rPr>
            </w:pPr>
            <w:r>
              <w:rPr>
                <w:rFonts w:hint="eastAsia" w:ascii="宋体" w:hAnsi="宋体"/>
                <w:sz w:val="24"/>
                <w:szCs w:val="24"/>
              </w:rPr>
              <w:t>1、</w:t>
            </w:r>
            <w:r>
              <w:rPr>
                <w:rFonts w:hint="eastAsia"/>
                <w:sz w:val="24"/>
                <w:szCs w:val="24"/>
              </w:rPr>
              <w:t>防洪堤（</w:t>
            </w:r>
            <w:r>
              <w:rPr>
                <w:rFonts w:hint="eastAsia" w:ascii="宋体" w:hAnsi="宋体"/>
                <w:sz w:val="24"/>
                <w:szCs w:val="24"/>
              </w:rPr>
              <w:t>□</w:t>
            </w:r>
            <w:r>
              <w:rPr>
                <w:rFonts w:hint="eastAsia"/>
                <w:sz w:val="24"/>
                <w:szCs w:val="24"/>
              </w:rPr>
              <w:t>有</w:t>
            </w:r>
            <w:r>
              <w:rPr>
                <w:rFonts w:hint="eastAsia" w:ascii="宋体" w:hAnsi="宋体"/>
                <w:sz w:val="24"/>
                <w:szCs w:val="24"/>
              </w:rPr>
              <w:sym w:font="Wingdings 2" w:char="0052"/>
            </w:r>
            <w:r>
              <w:rPr>
                <w:rFonts w:hint="eastAsia"/>
                <w:sz w:val="24"/>
                <w:szCs w:val="24"/>
              </w:rPr>
              <w:t>无）2、枯水期水面宽度（</w:t>
            </w:r>
            <w:r>
              <w:rPr>
                <w:rFonts w:hint="eastAsia" w:ascii="宋体" w:hAnsi="宋体"/>
                <w:sz w:val="24"/>
                <w:szCs w:val="24"/>
              </w:rPr>
              <w:t>□</w:t>
            </w:r>
            <w:r>
              <w:rPr>
                <w:rFonts w:hint="eastAsia"/>
                <w:sz w:val="24"/>
                <w:szCs w:val="24"/>
              </w:rPr>
              <w:t>不小于</w:t>
            </w:r>
            <w:r>
              <w:rPr>
                <w:rFonts w:hint="eastAsia" w:ascii="宋体" w:hAnsi="宋体"/>
                <w:sz w:val="24"/>
                <w:szCs w:val="24"/>
              </w:rPr>
              <w:sym w:font="Wingdings 2" w:char="0052"/>
            </w:r>
            <w:r>
              <w:rPr>
                <w:rFonts w:hint="eastAsia"/>
                <w:sz w:val="24"/>
                <w:szCs w:val="24"/>
              </w:rPr>
              <w:t>小于）500米、</w:t>
            </w:r>
            <w:r>
              <w:rPr>
                <w:rFonts w:hint="eastAsia" w:ascii="宋体" w:hAnsi="宋体"/>
                <w:sz w:val="24"/>
                <w:szCs w:val="24"/>
              </w:rPr>
              <w:t>3</w:t>
            </w:r>
            <w:r>
              <w:rPr>
                <w:rFonts w:hint="eastAsia"/>
                <w:sz w:val="24"/>
                <w:szCs w:val="24"/>
              </w:rPr>
              <w:t>航道（</w:t>
            </w:r>
            <w:r>
              <w:rPr>
                <w:rFonts w:hint="eastAsia" w:ascii="宋体" w:hAnsi="宋体"/>
                <w:sz w:val="24"/>
                <w:szCs w:val="24"/>
              </w:rPr>
              <w:t>□</w:t>
            </w:r>
            <w:r>
              <w:rPr>
                <w:rFonts w:hint="eastAsia"/>
                <w:sz w:val="24"/>
                <w:szCs w:val="24"/>
              </w:rPr>
              <w:t>有</w:t>
            </w:r>
            <w:r>
              <w:rPr>
                <w:rFonts w:hint="eastAsia" w:ascii="宋体" w:hAnsi="宋体"/>
                <w:sz w:val="24"/>
                <w:szCs w:val="24"/>
              </w:rPr>
              <w:sym w:font="Wingdings 2" w:char="0052"/>
            </w:r>
            <w:r>
              <w:rPr>
                <w:rFonts w:hint="eastAsia"/>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366" w:type="dxa"/>
            <w:gridSpan w:val="5"/>
            <w:noWrap w:val="0"/>
            <w:vAlign w:val="center"/>
          </w:tcPr>
          <w:p>
            <w:pPr>
              <w:pStyle w:val="16"/>
              <w:rPr>
                <w:rFonts w:hint="eastAsia" w:ascii="宋体" w:hAnsi="宋体"/>
                <w:sz w:val="24"/>
                <w:szCs w:val="24"/>
              </w:rPr>
            </w:pPr>
            <w:r>
              <w:rPr>
                <w:rFonts w:hint="eastAsia" w:ascii="宋体" w:hAnsi="宋体"/>
                <w:sz w:val="24"/>
                <w:szCs w:val="24"/>
              </w:rPr>
              <w:sym w:font="Wingdings 2" w:char="00A3"/>
            </w:r>
            <w:r>
              <w:rPr>
                <w:rFonts w:hint="eastAsia"/>
                <w:sz w:val="24"/>
                <w:szCs w:val="24"/>
              </w:rPr>
              <w:t>水库</w:t>
            </w:r>
          </w:p>
        </w:tc>
        <w:tc>
          <w:tcPr>
            <w:tcW w:w="6215" w:type="dxa"/>
            <w:gridSpan w:val="17"/>
            <w:noWrap w:val="0"/>
            <w:vAlign w:val="center"/>
          </w:tcPr>
          <w:p>
            <w:pPr>
              <w:pStyle w:val="16"/>
              <w:jc w:val="left"/>
              <w:rPr>
                <w:rFonts w:hint="eastAsia" w:ascii="宋体" w:hAnsi="宋体"/>
                <w:sz w:val="24"/>
                <w:szCs w:val="24"/>
              </w:rPr>
            </w:pPr>
            <w:r>
              <w:rPr>
                <w:rFonts w:hint="eastAsia" w:ascii="宋体" w:hAnsi="宋体"/>
                <w:sz w:val="24"/>
                <w:szCs w:val="24"/>
              </w:rPr>
              <w:sym w:font="Wingdings 2" w:char="00A3"/>
            </w:r>
            <w:r>
              <w:rPr>
                <w:rFonts w:hint="eastAsia"/>
                <w:sz w:val="24"/>
                <w:szCs w:val="24"/>
              </w:rPr>
              <w:t>小型、</w:t>
            </w:r>
            <w:r>
              <w:rPr>
                <w:rFonts w:hint="eastAsia" w:ascii="宋体" w:hAnsi="宋体"/>
                <w:sz w:val="24"/>
                <w:szCs w:val="24"/>
              </w:rPr>
              <w:t>□</w:t>
            </w:r>
            <w:r>
              <w:rPr>
                <w:rFonts w:hint="eastAsia"/>
                <w:sz w:val="24"/>
                <w:szCs w:val="24"/>
              </w:rPr>
              <w:t>中型、</w:t>
            </w:r>
            <w:r>
              <w:rPr>
                <w:rFonts w:hint="eastAsia" w:ascii="宋体" w:hAnsi="宋体"/>
                <w:sz w:val="24"/>
                <w:szCs w:val="24"/>
              </w:rPr>
              <w:t>□</w:t>
            </w:r>
            <w:r>
              <w:rPr>
                <w:rFonts w:hint="eastAsia"/>
                <w:sz w:val="24"/>
                <w:szCs w:val="24"/>
              </w:rPr>
              <w:t>大型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366" w:type="dxa"/>
            <w:gridSpan w:val="5"/>
            <w:noWrap w:val="0"/>
            <w:vAlign w:val="center"/>
          </w:tcPr>
          <w:p>
            <w:pPr>
              <w:pStyle w:val="16"/>
              <w:rPr>
                <w:rFonts w:hint="eastAsia" w:ascii="宋体" w:hAnsi="宋体"/>
                <w:sz w:val="24"/>
                <w:szCs w:val="24"/>
              </w:rPr>
            </w:pPr>
            <w:r>
              <w:rPr>
                <w:rFonts w:hint="eastAsia" w:ascii="宋体" w:hAnsi="宋体"/>
                <w:sz w:val="24"/>
                <w:szCs w:val="24"/>
              </w:rPr>
              <w:t>□</w:t>
            </w:r>
            <w:r>
              <w:rPr>
                <w:rFonts w:hint="eastAsia"/>
                <w:sz w:val="24"/>
                <w:szCs w:val="24"/>
              </w:rPr>
              <w:t>湖泊</w:t>
            </w:r>
          </w:p>
        </w:tc>
        <w:tc>
          <w:tcPr>
            <w:tcW w:w="6215" w:type="dxa"/>
            <w:gridSpan w:val="17"/>
            <w:noWrap w:val="0"/>
            <w:vAlign w:val="center"/>
          </w:tcPr>
          <w:p>
            <w:pPr>
              <w:pStyle w:val="16"/>
              <w:jc w:val="left"/>
              <w:rPr>
                <w:rFonts w:hint="eastAsia" w:ascii="宋体" w:hAnsi="宋体"/>
                <w:sz w:val="24"/>
                <w:szCs w:val="24"/>
              </w:rPr>
            </w:pPr>
            <w:r>
              <w:rPr>
                <w:rFonts w:hint="eastAsia" w:ascii="宋体" w:hAnsi="宋体"/>
                <w:sz w:val="24"/>
                <w:szCs w:val="24"/>
              </w:rPr>
              <w:t>□</w:t>
            </w:r>
            <w:r>
              <w:rPr>
                <w:rFonts w:hint="eastAsia"/>
                <w:sz w:val="24"/>
                <w:szCs w:val="24"/>
              </w:rPr>
              <w:t>小型、</w:t>
            </w:r>
            <w:r>
              <w:rPr>
                <w:rFonts w:hint="eastAsia" w:ascii="宋体" w:hAnsi="宋体"/>
                <w:sz w:val="24"/>
                <w:szCs w:val="24"/>
              </w:rPr>
              <w:t>□大</w:t>
            </w:r>
            <w:r>
              <w:rPr>
                <w:rFonts w:hint="eastAsia"/>
                <w:sz w:val="24"/>
                <w:szCs w:val="24"/>
              </w:rPr>
              <w:t>中型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366" w:type="dxa"/>
            <w:gridSpan w:val="5"/>
            <w:noWrap w:val="0"/>
            <w:vAlign w:val="center"/>
          </w:tcPr>
          <w:p>
            <w:pPr>
              <w:pStyle w:val="16"/>
              <w:rPr>
                <w:rFonts w:hint="eastAsia" w:ascii="宋体" w:hAnsi="宋体"/>
                <w:sz w:val="24"/>
                <w:szCs w:val="24"/>
              </w:rPr>
            </w:pPr>
            <w:r>
              <w:rPr>
                <w:rFonts w:hint="eastAsia" w:ascii="宋体" w:hAnsi="宋体"/>
                <w:sz w:val="24"/>
                <w:szCs w:val="24"/>
              </w:rPr>
              <w:t>□</w:t>
            </w:r>
            <w:r>
              <w:rPr>
                <w:rFonts w:hint="eastAsia"/>
                <w:sz w:val="24"/>
                <w:szCs w:val="24"/>
              </w:rPr>
              <w:t>地下水</w:t>
            </w:r>
          </w:p>
        </w:tc>
        <w:tc>
          <w:tcPr>
            <w:tcW w:w="6215" w:type="dxa"/>
            <w:gridSpan w:val="17"/>
            <w:noWrap w:val="0"/>
            <w:vAlign w:val="center"/>
          </w:tcPr>
          <w:p>
            <w:pPr>
              <w:pStyle w:val="16"/>
              <w:jc w:val="left"/>
              <w:rPr>
                <w:rFonts w:hint="eastAsia" w:ascii="宋体" w:hAnsi="宋体"/>
                <w:sz w:val="24"/>
                <w:szCs w:val="24"/>
              </w:rPr>
            </w:pPr>
            <w:r>
              <w:rPr>
                <w:rFonts w:hint="eastAsia" w:ascii="宋体" w:hAnsi="宋体"/>
                <w:sz w:val="24"/>
                <w:szCs w:val="24"/>
              </w:rPr>
              <w:t>□</w:t>
            </w:r>
            <w:r>
              <w:rPr>
                <w:rFonts w:hint="eastAsia"/>
                <w:sz w:val="24"/>
                <w:szCs w:val="24"/>
              </w:rPr>
              <w:t>孔隙水、</w:t>
            </w:r>
            <w:r>
              <w:rPr>
                <w:rFonts w:hint="eastAsia" w:ascii="宋体" w:hAnsi="宋体"/>
                <w:sz w:val="24"/>
                <w:szCs w:val="24"/>
              </w:rPr>
              <w:t>□</w:t>
            </w:r>
            <w:r>
              <w:rPr>
                <w:rFonts w:hint="eastAsia"/>
                <w:sz w:val="24"/>
                <w:szCs w:val="24"/>
              </w:rPr>
              <w:t>基岩裂隙水、</w:t>
            </w:r>
            <w:r>
              <w:rPr>
                <w:rFonts w:hint="eastAsia" w:ascii="宋体" w:hAnsi="宋体"/>
                <w:sz w:val="24"/>
                <w:szCs w:val="24"/>
              </w:rPr>
              <w:t>□</w:t>
            </w:r>
            <w:r>
              <w:rPr>
                <w:rFonts w:hint="eastAsia"/>
                <w:sz w:val="24"/>
                <w:szCs w:val="24"/>
              </w:rPr>
              <w:t>岩溶水、</w:t>
            </w:r>
            <w:r>
              <w:rPr>
                <w:rFonts w:hint="eastAsia" w:ascii="宋体" w:hAnsi="宋体"/>
                <w:sz w:val="24"/>
                <w:szCs w:val="24"/>
              </w:rPr>
              <w:t>□</w:t>
            </w:r>
            <w:r>
              <w:rPr>
                <w:rFonts w:hint="eastAsia"/>
                <w:sz w:val="24"/>
                <w:szCs w:val="24"/>
              </w:rPr>
              <w:t>潜水、</w:t>
            </w:r>
            <w:r>
              <w:rPr>
                <w:rFonts w:hint="eastAsia" w:ascii="宋体" w:hAnsi="宋体"/>
                <w:sz w:val="24"/>
                <w:szCs w:val="24"/>
              </w:rPr>
              <w:t>□</w:t>
            </w:r>
            <w:r>
              <w:rPr>
                <w:rFonts w:hint="eastAsia"/>
                <w:sz w:val="24"/>
                <w:szCs w:val="24"/>
              </w:rPr>
              <w:t>承压水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2130" w:type="dxa"/>
            <w:gridSpan w:val="7"/>
            <w:noWrap w:val="0"/>
            <w:vAlign w:val="center"/>
          </w:tcPr>
          <w:p>
            <w:pPr>
              <w:pStyle w:val="16"/>
              <w:jc w:val="center"/>
              <w:rPr>
                <w:rFonts w:hint="eastAsia" w:ascii="宋体" w:hAnsi="宋体"/>
                <w:sz w:val="24"/>
                <w:szCs w:val="24"/>
              </w:rPr>
            </w:pPr>
            <w:r>
              <w:rPr>
                <w:rFonts w:hint="eastAsia" w:ascii="宋体" w:hAnsi="宋体"/>
                <w:sz w:val="24"/>
                <w:szCs w:val="24"/>
              </w:rPr>
              <w:t>□单井</w:t>
            </w:r>
          </w:p>
        </w:tc>
        <w:tc>
          <w:tcPr>
            <w:tcW w:w="2386" w:type="dxa"/>
            <w:gridSpan w:val="8"/>
            <w:noWrap w:val="0"/>
            <w:vAlign w:val="center"/>
          </w:tcPr>
          <w:p>
            <w:pPr>
              <w:pStyle w:val="16"/>
              <w:jc w:val="center"/>
              <w:rPr>
                <w:rFonts w:hint="eastAsia" w:ascii="宋体" w:hAnsi="宋体"/>
                <w:sz w:val="24"/>
                <w:szCs w:val="24"/>
              </w:rPr>
            </w:pPr>
            <w:r>
              <w:rPr>
                <w:rFonts w:hint="eastAsia" w:ascii="宋体" w:hAnsi="宋体"/>
                <w:sz w:val="24"/>
                <w:szCs w:val="24"/>
              </w:rPr>
              <w:t>□井群</w:t>
            </w:r>
          </w:p>
        </w:tc>
        <w:tc>
          <w:tcPr>
            <w:tcW w:w="3065" w:type="dxa"/>
            <w:gridSpan w:val="7"/>
            <w:noWrap w:val="0"/>
            <w:vAlign w:val="center"/>
          </w:tcPr>
          <w:p>
            <w:pPr>
              <w:pStyle w:val="16"/>
              <w:jc w:val="center"/>
              <w:rPr>
                <w:rFonts w:hint="eastAsia" w:ascii="宋体" w:hAnsi="宋体"/>
                <w:sz w:val="24"/>
                <w:szCs w:val="24"/>
              </w:rPr>
            </w:pPr>
            <w:r>
              <w:rPr>
                <w:rFonts w:hint="eastAsia" w:ascii="宋体" w:hAnsi="宋体"/>
                <w:sz w:val="24"/>
                <w:szCs w:val="24"/>
              </w:rPr>
              <w:t>□傍河水井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noWrap w:val="0"/>
            <w:vAlign w:val="center"/>
          </w:tcPr>
          <w:p>
            <w:pPr>
              <w:pStyle w:val="16"/>
              <w:rPr>
                <w:rFonts w:hint="eastAsia"/>
                <w:b/>
                <w:bCs/>
                <w:sz w:val="24"/>
                <w:szCs w:val="24"/>
              </w:rPr>
            </w:pPr>
            <w:r>
              <w:rPr>
                <w:rFonts w:hint="eastAsia"/>
                <w:b/>
                <w:bCs/>
                <w:sz w:val="24"/>
                <w:szCs w:val="24"/>
              </w:rPr>
              <w:t>水域划分方法</w:t>
            </w:r>
          </w:p>
        </w:tc>
        <w:tc>
          <w:tcPr>
            <w:tcW w:w="1085" w:type="dxa"/>
            <w:gridSpan w:val="4"/>
            <w:noWrap w:val="0"/>
            <w:vAlign w:val="center"/>
          </w:tcPr>
          <w:p>
            <w:pPr>
              <w:pStyle w:val="16"/>
              <w:rPr>
                <w:rFonts w:hint="default" w:ascii="宋体" w:hAnsi="宋体" w:eastAsia="宋体"/>
                <w:sz w:val="24"/>
                <w:szCs w:val="24"/>
                <w:lang w:val="en-US" w:eastAsia="zh-CN"/>
              </w:rPr>
            </w:pPr>
            <w:r>
              <w:rPr>
                <w:rFonts w:hint="eastAsia" w:ascii="宋体" w:hAnsi="宋体"/>
                <w:sz w:val="24"/>
                <w:szCs w:val="24"/>
                <w:lang w:val="en-US" w:eastAsia="zh-CN"/>
              </w:rPr>
              <w:t>类比经验法</w:t>
            </w:r>
          </w:p>
        </w:tc>
        <w:tc>
          <w:tcPr>
            <w:tcW w:w="1045" w:type="dxa"/>
            <w:gridSpan w:val="3"/>
            <w:noWrap w:val="0"/>
            <w:vAlign w:val="center"/>
          </w:tcPr>
          <w:p>
            <w:pPr>
              <w:pStyle w:val="16"/>
              <w:rPr>
                <w:rFonts w:hint="eastAsia" w:ascii="宋体" w:hAnsi="宋体"/>
                <w:b/>
                <w:bCs/>
                <w:sz w:val="24"/>
                <w:szCs w:val="24"/>
              </w:rPr>
            </w:pPr>
            <w:r>
              <w:rPr>
                <w:rFonts w:hint="eastAsia" w:ascii="宋体" w:hAnsi="宋体"/>
                <w:b/>
                <w:bCs/>
                <w:sz w:val="24"/>
                <w:szCs w:val="24"/>
              </w:rPr>
              <w:t>陆域划分方法</w:t>
            </w:r>
          </w:p>
        </w:tc>
        <w:tc>
          <w:tcPr>
            <w:tcW w:w="2386" w:type="dxa"/>
            <w:gridSpan w:val="8"/>
            <w:noWrap w:val="0"/>
            <w:vAlign w:val="center"/>
          </w:tcPr>
          <w:p>
            <w:pPr>
              <w:pStyle w:val="16"/>
              <w:jc w:val="center"/>
              <w:rPr>
                <w:rFonts w:hint="eastAsia" w:ascii="宋体" w:hAnsi="宋体"/>
                <w:sz w:val="24"/>
                <w:szCs w:val="24"/>
              </w:rPr>
            </w:pPr>
            <w:r>
              <w:rPr>
                <w:rFonts w:hint="eastAsia" w:ascii="宋体" w:hAnsi="宋体"/>
                <w:sz w:val="24"/>
                <w:szCs w:val="24"/>
                <w:lang w:val="en-US" w:eastAsia="zh-CN"/>
              </w:rPr>
              <w:t>类比经验法</w:t>
            </w:r>
          </w:p>
        </w:tc>
        <w:tc>
          <w:tcPr>
            <w:tcW w:w="1317" w:type="dxa"/>
            <w:gridSpan w:val="5"/>
            <w:noWrap w:val="0"/>
            <w:vAlign w:val="center"/>
          </w:tcPr>
          <w:p>
            <w:pPr>
              <w:pStyle w:val="16"/>
              <w:jc w:val="left"/>
              <w:rPr>
                <w:rFonts w:hint="eastAsia" w:ascii="宋体" w:hAnsi="宋体"/>
                <w:b/>
                <w:bCs/>
                <w:sz w:val="24"/>
                <w:szCs w:val="24"/>
              </w:rPr>
            </w:pPr>
            <w:r>
              <w:rPr>
                <w:rFonts w:hint="eastAsia" w:ascii="宋体" w:hAnsi="宋体"/>
                <w:b/>
                <w:bCs/>
                <w:sz w:val="24"/>
                <w:szCs w:val="24"/>
              </w:rPr>
              <w:t>地下水划分方法</w:t>
            </w:r>
          </w:p>
        </w:tc>
        <w:tc>
          <w:tcPr>
            <w:tcW w:w="1748" w:type="dxa"/>
            <w:gridSpan w:val="2"/>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保护区划分方案</w:t>
            </w:r>
          </w:p>
        </w:tc>
        <w:tc>
          <w:tcPr>
            <w:tcW w:w="1366" w:type="dxa"/>
            <w:gridSpan w:val="5"/>
            <w:noWrap w:val="0"/>
            <w:vAlign w:val="center"/>
          </w:tcPr>
          <w:p>
            <w:pPr>
              <w:pStyle w:val="16"/>
              <w:jc w:val="center"/>
              <w:rPr>
                <w:rFonts w:hint="eastAsia" w:ascii="宋体" w:hAnsi="宋体"/>
                <w:b/>
                <w:bCs/>
                <w:sz w:val="24"/>
                <w:szCs w:val="24"/>
              </w:rPr>
            </w:pPr>
            <w:r>
              <w:rPr>
                <w:rFonts w:hint="eastAsia" w:ascii="宋体" w:hAnsi="宋体"/>
                <w:b/>
                <w:bCs/>
                <w:sz w:val="24"/>
                <w:szCs w:val="24"/>
              </w:rPr>
              <w:t>一级水域</w:t>
            </w:r>
          </w:p>
        </w:tc>
        <w:tc>
          <w:tcPr>
            <w:tcW w:w="1820" w:type="dxa"/>
            <w:gridSpan w:val="6"/>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rPr>
              <w:t>取水口（拦水坝）上溯330米的山溪水水域。</w:t>
            </w:r>
          </w:p>
        </w:tc>
        <w:tc>
          <w:tcPr>
            <w:tcW w:w="1330" w:type="dxa"/>
            <w:gridSpan w:val="4"/>
            <w:noWrap w:val="0"/>
            <w:vAlign w:val="center"/>
          </w:tcPr>
          <w:p>
            <w:pPr>
              <w:pStyle w:val="16"/>
              <w:keepNext w:val="0"/>
              <w:keepLines w:val="0"/>
              <w:pageBreakBefore w:val="0"/>
              <w:kinsoku/>
              <w:wordWrap/>
              <w:overflowPunct/>
              <w:topLinePunct w:val="0"/>
              <w:autoSpaceDE/>
              <w:autoSpaceDN/>
              <w:bidi w:val="0"/>
              <w:adjustRightInd/>
              <w:snapToGrid/>
              <w:spacing w:line="360" w:lineRule="auto"/>
              <w:jc w:val="center"/>
              <w:rPr>
                <w:rFonts w:hint="eastAsia" w:ascii="宋体" w:hAnsi="宋体"/>
                <w:b/>
                <w:bCs/>
                <w:sz w:val="24"/>
                <w:szCs w:val="24"/>
              </w:rPr>
            </w:pPr>
            <w:r>
              <w:rPr>
                <w:rFonts w:hint="eastAsia" w:ascii="宋体" w:hAnsi="宋体"/>
                <w:b/>
                <w:bCs/>
                <w:sz w:val="24"/>
                <w:szCs w:val="24"/>
              </w:rPr>
              <w:t>一级陆域</w:t>
            </w:r>
          </w:p>
        </w:tc>
        <w:tc>
          <w:tcPr>
            <w:tcW w:w="3065" w:type="dxa"/>
            <w:gridSpan w:val="7"/>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color w:val="auto"/>
                <w:kern w:val="0"/>
                <w:sz w:val="24"/>
                <w:szCs w:val="24"/>
                <w:lang w:val="en-US" w:eastAsia="zh-CN"/>
              </w:rPr>
              <w:t>一级保护区水域边界沿岸纵深10米。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exact"/>
          <w:jc w:val="center"/>
        </w:trPr>
        <w:tc>
          <w:tcPr>
            <w:tcW w:w="966" w:type="dxa"/>
            <w:vMerge w:val="continue"/>
            <w:noWrap w:val="0"/>
            <w:vAlign w:val="center"/>
          </w:tcPr>
          <w:p>
            <w:pPr>
              <w:pStyle w:val="16"/>
              <w:rPr>
                <w:rFonts w:hint="eastAsia"/>
                <w:b/>
                <w:bCs/>
                <w:sz w:val="24"/>
                <w:szCs w:val="24"/>
              </w:rPr>
            </w:pPr>
          </w:p>
        </w:tc>
        <w:tc>
          <w:tcPr>
            <w:tcW w:w="1366" w:type="dxa"/>
            <w:gridSpan w:val="5"/>
            <w:noWrap w:val="0"/>
            <w:vAlign w:val="center"/>
          </w:tcPr>
          <w:p>
            <w:pPr>
              <w:pStyle w:val="16"/>
              <w:jc w:val="center"/>
              <w:rPr>
                <w:rFonts w:hint="eastAsia" w:ascii="宋体" w:hAnsi="宋体"/>
                <w:b/>
                <w:bCs/>
                <w:sz w:val="24"/>
                <w:szCs w:val="24"/>
              </w:rPr>
            </w:pPr>
            <w:r>
              <w:rPr>
                <w:rFonts w:hint="eastAsia" w:ascii="宋体" w:hAnsi="宋体"/>
                <w:b/>
                <w:bCs/>
                <w:sz w:val="24"/>
                <w:szCs w:val="24"/>
              </w:rPr>
              <w:t>二级水域</w:t>
            </w:r>
          </w:p>
        </w:tc>
        <w:tc>
          <w:tcPr>
            <w:tcW w:w="1820" w:type="dxa"/>
            <w:gridSpan w:val="6"/>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rPr>
              <w:t>一级保护区上边界上溯至源头的溪流水域。</w:t>
            </w:r>
          </w:p>
        </w:tc>
        <w:tc>
          <w:tcPr>
            <w:tcW w:w="1330" w:type="dxa"/>
            <w:gridSpan w:val="4"/>
            <w:noWrap w:val="0"/>
            <w:vAlign w:val="center"/>
          </w:tcPr>
          <w:p>
            <w:pPr>
              <w:pStyle w:val="16"/>
              <w:keepNext w:val="0"/>
              <w:keepLines w:val="0"/>
              <w:pageBreakBefore w:val="0"/>
              <w:kinsoku/>
              <w:wordWrap/>
              <w:overflowPunct/>
              <w:topLinePunct w:val="0"/>
              <w:autoSpaceDE/>
              <w:autoSpaceDN/>
              <w:bidi w:val="0"/>
              <w:adjustRightInd/>
              <w:snapToGrid/>
              <w:spacing w:line="360" w:lineRule="auto"/>
              <w:jc w:val="center"/>
              <w:rPr>
                <w:rFonts w:hint="eastAsia" w:ascii="宋体" w:hAnsi="宋体"/>
                <w:b/>
                <w:bCs/>
                <w:sz w:val="24"/>
                <w:szCs w:val="24"/>
              </w:rPr>
            </w:pPr>
            <w:r>
              <w:rPr>
                <w:rFonts w:hint="eastAsia" w:ascii="宋体" w:hAnsi="宋体"/>
                <w:b/>
                <w:bCs/>
                <w:sz w:val="24"/>
                <w:szCs w:val="24"/>
              </w:rPr>
              <w:t>二级陆域</w:t>
            </w:r>
          </w:p>
        </w:tc>
        <w:tc>
          <w:tcPr>
            <w:tcW w:w="3065" w:type="dxa"/>
            <w:gridSpan w:val="7"/>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color w:val="auto"/>
                <w:kern w:val="0"/>
                <w:sz w:val="24"/>
                <w:szCs w:val="24"/>
                <w:lang w:val="en-US" w:eastAsia="zh-CN"/>
              </w:rPr>
              <w:t>一、二级保护区水域边界沿岸纵深50米，不超过两侧山脊线（一级保护区除外）。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b/>
                <w:bCs/>
                <w:sz w:val="24"/>
                <w:szCs w:val="24"/>
              </w:rPr>
            </w:pPr>
          </w:p>
        </w:tc>
        <w:tc>
          <w:tcPr>
            <w:tcW w:w="1366" w:type="dxa"/>
            <w:gridSpan w:val="5"/>
            <w:noWrap w:val="0"/>
            <w:vAlign w:val="center"/>
          </w:tcPr>
          <w:p>
            <w:pPr>
              <w:pStyle w:val="16"/>
              <w:jc w:val="center"/>
              <w:rPr>
                <w:rFonts w:hint="eastAsia" w:ascii="宋体" w:hAnsi="宋体"/>
                <w:b/>
                <w:bCs/>
                <w:sz w:val="24"/>
                <w:szCs w:val="24"/>
              </w:rPr>
            </w:pPr>
            <w:r>
              <w:rPr>
                <w:rFonts w:hint="eastAsia" w:ascii="宋体" w:hAnsi="宋体"/>
                <w:b/>
                <w:bCs/>
                <w:sz w:val="24"/>
                <w:szCs w:val="24"/>
              </w:rPr>
              <w:t>准保护区水域</w:t>
            </w:r>
          </w:p>
        </w:tc>
        <w:tc>
          <w:tcPr>
            <w:tcW w:w="1820" w:type="dxa"/>
            <w:gridSpan w:val="6"/>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c>
          <w:tcPr>
            <w:tcW w:w="1330" w:type="dxa"/>
            <w:gridSpan w:val="4"/>
            <w:noWrap w:val="0"/>
            <w:vAlign w:val="center"/>
          </w:tcPr>
          <w:p>
            <w:pPr>
              <w:pStyle w:val="16"/>
              <w:jc w:val="center"/>
              <w:rPr>
                <w:rFonts w:hint="eastAsia" w:ascii="宋体" w:hAnsi="宋体"/>
                <w:b/>
                <w:bCs/>
                <w:sz w:val="24"/>
                <w:szCs w:val="24"/>
              </w:rPr>
            </w:pPr>
            <w:r>
              <w:rPr>
                <w:rFonts w:hint="eastAsia" w:ascii="宋体" w:hAnsi="宋体"/>
                <w:b/>
                <w:bCs/>
                <w:sz w:val="24"/>
                <w:szCs w:val="24"/>
              </w:rPr>
              <w:t>准保护区陆域</w:t>
            </w:r>
          </w:p>
        </w:tc>
        <w:tc>
          <w:tcPr>
            <w:tcW w:w="3065" w:type="dxa"/>
            <w:gridSpan w:val="7"/>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保护区其他情况</w:t>
            </w:r>
          </w:p>
        </w:tc>
        <w:tc>
          <w:tcPr>
            <w:tcW w:w="2148" w:type="dxa"/>
            <w:gridSpan w:val="8"/>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支流汇入</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52"/>
            </w:r>
            <w:r>
              <w:rPr>
                <w:rFonts w:hint="eastAsia" w:ascii="宋体" w:hAnsi="宋体"/>
                <w:sz w:val="24"/>
                <w:szCs w:val="24"/>
              </w:rPr>
              <w:t>有</w:t>
            </w:r>
            <w:r>
              <w:rPr>
                <w:rFonts w:hint="eastAsia" w:ascii="宋体" w:hAnsi="宋体"/>
                <w:sz w:val="24"/>
                <w:szCs w:val="24"/>
              </w:rPr>
              <w:sym w:font="Wingdings 2" w:char="00A3"/>
            </w:r>
            <w:r>
              <w:rPr>
                <w:rFonts w:hint="eastAsia" w:ascii="宋体" w:hAnsi="宋体"/>
                <w:sz w:val="24"/>
                <w:szCs w:val="24"/>
              </w:rPr>
              <w:t>无）</w:t>
            </w:r>
          </w:p>
        </w:tc>
        <w:tc>
          <w:tcPr>
            <w:tcW w:w="2649"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跨界</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A3"/>
            </w: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784" w:type="dxa"/>
            <w:gridSpan w:val="5"/>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输水渠道</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966" w:type="dxa"/>
            <w:vMerge w:val="continue"/>
            <w:noWrap w:val="0"/>
            <w:vAlign w:val="center"/>
          </w:tcPr>
          <w:p>
            <w:pPr>
              <w:pStyle w:val="16"/>
              <w:rPr>
                <w:rFonts w:hint="eastAsia"/>
                <w:b/>
                <w:bCs/>
                <w:sz w:val="24"/>
                <w:szCs w:val="24"/>
              </w:rPr>
            </w:pPr>
          </w:p>
        </w:tc>
        <w:tc>
          <w:tcPr>
            <w:tcW w:w="2148" w:type="dxa"/>
            <w:gridSpan w:val="8"/>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自然保护区</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649"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工业用地</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A3"/>
            </w: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784" w:type="dxa"/>
            <w:gridSpan w:val="5"/>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居住用地</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Merge w:val="restart"/>
            <w:noWrap w:val="0"/>
            <w:vAlign w:val="center"/>
          </w:tcPr>
          <w:p>
            <w:pPr>
              <w:pStyle w:val="16"/>
              <w:rPr>
                <w:b/>
                <w:bCs/>
                <w:sz w:val="24"/>
                <w:szCs w:val="24"/>
              </w:rPr>
            </w:pPr>
            <w:r>
              <w:rPr>
                <w:rFonts w:hint="eastAsia"/>
                <w:b/>
                <w:bCs/>
                <w:sz w:val="24"/>
                <w:szCs w:val="24"/>
              </w:rPr>
              <w:t>保护区环境问题与整治措施</w:t>
            </w:r>
          </w:p>
        </w:tc>
        <w:tc>
          <w:tcPr>
            <w:tcW w:w="3468" w:type="dxa"/>
            <w:gridSpan w:val="12"/>
            <w:noWrap w:val="0"/>
            <w:vAlign w:val="center"/>
          </w:tcPr>
          <w:p>
            <w:pPr>
              <w:pStyle w:val="16"/>
              <w:rPr>
                <w:rFonts w:ascii="宋体" w:hAnsi="宋体"/>
                <w:b/>
                <w:bCs/>
                <w:sz w:val="24"/>
                <w:szCs w:val="24"/>
              </w:rPr>
            </w:pPr>
            <w:r>
              <w:rPr>
                <w:rFonts w:hint="eastAsia" w:ascii="宋体" w:hAnsi="宋体"/>
                <w:b/>
                <w:bCs/>
                <w:sz w:val="24"/>
                <w:szCs w:val="24"/>
              </w:rPr>
              <w:t>环境问题</w:t>
            </w:r>
          </w:p>
        </w:tc>
        <w:tc>
          <w:tcPr>
            <w:tcW w:w="4113" w:type="dxa"/>
            <w:gridSpan w:val="10"/>
            <w:noWrap w:val="0"/>
            <w:vAlign w:val="center"/>
          </w:tcPr>
          <w:p>
            <w:pPr>
              <w:pStyle w:val="16"/>
              <w:rPr>
                <w:rFonts w:ascii="宋体" w:hAnsi="宋体"/>
                <w:b/>
                <w:bCs/>
                <w:sz w:val="24"/>
                <w:szCs w:val="24"/>
              </w:rPr>
            </w:pPr>
            <w:r>
              <w:rPr>
                <w:rFonts w:hint="eastAsia" w:ascii="宋体" w:hAnsi="宋体"/>
                <w:b/>
                <w:bCs/>
                <w:sz w:val="24"/>
                <w:szCs w:val="24"/>
              </w:rPr>
              <w:t>整治措施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66" w:type="dxa"/>
            <w:vMerge w:val="continue"/>
            <w:noWrap w:val="0"/>
            <w:vAlign w:val="center"/>
          </w:tcPr>
          <w:p>
            <w:pPr>
              <w:pStyle w:val="16"/>
              <w:rPr>
                <w:rFonts w:hint="eastAsia"/>
                <w:sz w:val="24"/>
                <w:szCs w:val="24"/>
              </w:rPr>
            </w:pPr>
          </w:p>
        </w:tc>
        <w:tc>
          <w:tcPr>
            <w:tcW w:w="901" w:type="dxa"/>
            <w:gridSpan w:val="3"/>
            <w:noWrap w:val="0"/>
            <w:vAlign w:val="center"/>
          </w:tcPr>
          <w:p>
            <w:pPr>
              <w:pStyle w:val="16"/>
              <w:rPr>
                <w:rFonts w:hint="eastAsia" w:ascii="宋体" w:hAnsi="宋体"/>
                <w:b/>
                <w:bCs/>
                <w:sz w:val="24"/>
                <w:szCs w:val="24"/>
              </w:rPr>
            </w:pPr>
            <w:r>
              <w:rPr>
                <w:rFonts w:hint="eastAsia" w:ascii="宋体" w:hAnsi="宋体"/>
                <w:b/>
                <w:bCs/>
                <w:sz w:val="24"/>
                <w:szCs w:val="24"/>
              </w:rPr>
              <w:t>一级</w:t>
            </w:r>
          </w:p>
        </w:tc>
        <w:tc>
          <w:tcPr>
            <w:tcW w:w="2567"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无</w:t>
            </w:r>
          </w:p>
        </w:tc>
        <w:tc>
          <w:tcPr>
            <w:tcW w:w="925" w:type="dxa"/>
            <w:noWrap w:val="0"/>
            <w:vAlign w:val="center"/>
          </w:tcPr>
          <w:p>
            <w:pPr>
              <w:pStyle w:val="16"/>
              <w:rPr>
                <w:rFonts w:hint="eastAsia" w:ascii="Times New Roman" w:hAnsi="Times New Roman" w:eastAsia="宋体"/>
                <w:b/>
                <w:bCs/>
                <w:sz w:val="24"/>
                <w:szCs w:val="24"/>
              </w:rPr>
            </w:pPr>
            <w:r>
              <w:rPr>
                <w:rFonts w:hint="eastAsia" w:ascii="Times New Roman" w:hAnsi="Times New Roman" w:eastAsia="宋体"/>
                <w:b/>
                <w:bCs/>
                <w:sz w:val="24"/>
                <w:szCs w:val="24"/>
              </w:rPr>
              <w:t>一级</w:t>
            </w:r>
          </w:p>
        </w:tc>
        <w:tc>
          <w:tcPr>
            <w:tcW w:w="3188"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966" w:type="dxa"/>
            <w:vMerge w:val="continue"/>
            <w:noWrap w:val="0"/>
            <w:vAlign w:val="center"/>
          </w:tcPr>
          <w:p>
            <w:pPr>
              <w:pStyle w:val="16"/>
              <w:rPr>
                <w:rFonts w:hint="eastAsia"/>
                <w:sz w:val="24"/>
                <w:szCs w:val="24"/>
              </w:rPr>
            </w:pPr>
          </w:p>
        </w:tc>
        <w:tc>
          <w:tcPr>
            <w:tcW w:w="901" w:type="dxa"/>
            <w:gridSpan w:val="3"/>
            <w:noWrap w:val="0"/>
            <w:vAlign w:val="center"/>
          </w:tcPr>
          <w:p>
            <w:pPr>
              <w:pStyle w:val="16"/>
              <w:rPr>
                <w:rFonts w:hint="eastAsia" w:ascii="宋体" w:hAnsi="宋体"/>
                <w:b/>
                <w:bCs/>
                <w:sz w:val="24"/>
                <w:szCs w:val="24"/>
              </w:rPr>
            </w:pPr>
            <w:r>
              <w:rPr>
                <w:rFonts w:hint="eastAsia" w:ascii="宋体" w:hAnsi="宋体"/>
                <w:b/>
                <w:bCs/>
                <w:sz w:val="24"/>
                <w:szCs w:val="24"/>
              </w:rPr>
              <w:t>二级</w:t>
            </w:r>
          </w:p>
        </w:tc>
        <w:tc>
          <w:tcPr>
            <w:tcW w:w="2567"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无</w:t>
            </w:r>
          </w:p>
        </w:tc>
        <w:tc>
          <w:tcPr>
            <w:tcW w:w="925" w:type="dxa"/>
            <w:noWrap w:val="0"/>
            <w:vAlign w:val="center"/>
          </w:tcPr>
          <w:p>
            <w:pPr>
              <w:pStyle w:val="16"/>
              <w:rPr>
                <w:rFonts w:hint="eastAsia" w:ascii="Times New Roman" w:hAnsi="Times New Roman" w:eastAsia="宋体"/>
                <w:b/>
                <w:bCs/>
                <w:sz w:val="24"/>
                <w:szCs w:val="24"/>
              </w:rPr>
            </w:pPr>
            <w:r>
              <w:rPr>
                <w:rFonts w:hint="eastAsia" w:ascii="Times New Roman" w:hAnsi="Times New Roman" w:eastAsia="宋体"/>
                <w:b/>
                <w:bCs/>
                <w:sz w:val="24"/>
                <w:szCs w:val="24"/>
              </w:rPr>
              <w:t>二级</w:t>
            </w:r>
          </w:p>
        </w:tc>
        <w:tc>
          <w:tcPr>
            <w:tcW w:w="3188" w:type="dxa"/>
            <w:gridSpan w:val="9"/>
            <w:noWrap w:val="0"/>
            <w:vAlign w:val="center"/>
          </w:tcPr>
          <w:p>
            <w:pPr>
              <w:pStyle w:val="16"/>
              <w:rPr>
                <w:rFonts w:hint="eastAsia" w:ascii="Times New Roman" w:hAnsi="Times New Roman" w:eastAsia="宋体"/>
                <w:sz w:val="24"/>
                <w:szCs w:val="24"/>
                <w:lang w:val="en-US" w:eastAsia="zh-CN"/>
              </w:rPr>
            </w:pPr>
            <w:r>
              <w:rPr>
                <w:rFonts w:hint="eastAsia"/>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966" w:type="dxa"/>
            <w:noWrap w:val="0"/>
            <w:vAlign w:val="center"/>
          </w:tcPr>
          <w:p>
            <w:pPr>
              <w:pStyle w:val="16"/>
              <w:rPr>
                <w:rFonts w:hint="eastAsia"/>
                <w:b/>
                <w:bCs/>
                <w:sz w:val="24"/>
                <w:szCs w:val="24"/>
              </w:rPr>
            </w:pPr>
            <w:r>
              <w:rPr>
                <w:rFonts w:hint="eastAsia"/>
                <w:b/>
                <w:bCs/>
                <w:sz w:val="24"/>
                <w:szCs w:val="24"/>
              </w:rPr>
              <w:t>水质水量可达性分析</w:t>
            </w:r>
          </w:p>
        </w:tc>
        <w:tc>
          <w:tcPr>
            <w:tcW w:w="7581"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ascii="Times New Roman" w:hAnsi="Times New Roman" w:eastAsia="宋体"/>
                <w:sz w:val="24"/>
                <w:szCs w:val="24"/>
                <w:lang w:val="en-US" w:eastAsia="zh-CN"/>
              </w:rPr>
              <w:t>水质可达性</w:t>
            </w:r>
            <w:r>
              <w:rPr>
                <w:rFonts w:hint="eastAsia"/>
                <w:sz w:val="24"/>
                <w:szCs w:val="24"/>
                <w:lang w:val="en-US" w:eastAsia="zh-CN"/>
              </w:rPr>
              <w:t>分析：桃江鸬鹚渡镇蒋家冲村曹家湾山溪水饮用水水源地经2023年06月19日取样监测，</w:t>
            </w:r>
            <w:r>
              <w:rPr>
                <w:rFonts w:hint="eastAsia" w:cs="Times New Roman"/>
                <w:sz w:val="24"/>
                <w:szCs w:val="24"/>
                <w:lang w:val="en-US" w:eastAsia="zh-CN"/>
              </w:rPr>
              <w:t>61项所测因子表1的基本项目（总共24项）除总氮不参与评价外，其余均满足《地表水环境质量标准》（GB3838-2002）表1中Ⅱ类标准限值；表2的补充项目（5项）和表3中的特定项目（33项）满足《地表水环境质量标准》（GB3838-2002）中表2、表3标准限值，水质可达。</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color w:val="auto"/>
                <w:sz w:val="24"/>
                <w:szCs w:val="24"/>
                <w:lang w:val="en-US" w:eastAsia="zh-CN"/>
              </w:rPr>
              <w:t>水量可达性分析</w:t>
            </w:r>
            <w:r>
              <w:rPr>
                <w:rFonts w:hint="eastAsia"/>
                <w:sz w:val="24"/>
                <w:szCs w:val="24"/>
                <w:lang w:val="en-US" w:eastAsia="zh-CN"/>
              </w:rPr>
              <w:t>：</w:t>
            </w:r>
            <w:r>
              <w:rPr>
                <w:rFonts w:hint="eastAsia"/>
                <w:b w:val="0"/>
                <w:bCs w:val="0"/>
                <w:color w:val="auto"/>
                <w:sz w:val="24"/>
                <w:szCs w:val="24"/>
                <w:lang w:val="en-US" w:eastAsia="zh-CN"/>
              </w:rPr>
              <w:t>根据益阳智诚环保科技有限公司编制曹家湾（夏家湾）水厂取水水资源论证报告表结论，结合</w:t>
            </w:r>
            <w:r>
              <w:rPr>
                <w:rFonts w:hint="eastAsia"/>
                <w:color w:val="auto"/>
                <w:sz w:val="24"/>
                <w:szCs w:val="24"/>
                <w:lang w:val="en-US" w:eastAsia="zh-CN"/>
              </w:rPr>
              <w:t>取水许可证分析，</w:t>
            </w:r>
            <w:r>
              <w:rPr>
                <w:rFonts w:hint="eastAsia" w:ascii="宋体" w:hAnsi="宋体" w:cs="宋体"/>
                <w:color w:val="auto"/>
                <w:kern w:val="0"/>
                <w:sz w:val="24"/>
                <w:szCs w:val="24"/>
                <w:lang w:val="en-US" w:eastAsia="zh-CN"/>
              </w:rPr>
              <w:t>桃江县鸬鹚渡镇蒋家冲村曹家湾水厂供水</w:t>
            </w:r>
            <w:r>
              <w:rPr>
                <w:rFonts w:hint="eastAsia"/>
                <w:color w:val="auto"/>
                <w:sz w:val="24"/>
                <w:szCs w:val="24"/>
                <w:lang w:val="en-US" w:eastAsia="zh-CN"/>
              </w:rPr>
              <w:t>主要用于</w:t>
            </w:r>
            <w:r>
              <w:rPr>
                <w:rFonts w:hint="eastAsia"/>
                <w:sz w:val="24"/>
                <w:szCs w:val="24"/>
                <w:lang w:val="en-US" w:eastAsia="zh-CN"/>
              </w:rPr>
              <w:t>蒋家冲村曹家湾、胡家湾、刘伏洞等村名小组</w:t>
            </w:r>
            <w:r>
              <w:rPr>
                <w:rFonts w:hint="eastAsia"/>
                <w:color w:val="auto"/>
                <w:sz w:val="24"/>
                <w:szCs w:val="24"/>
                <w:lang w:val="en-US" w:eastAsia="zh-CN"/>
              </w:rPr>
              <w:t>居民生活饮水，水量可满足需求。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noWrap w:val="0"/>
            <w:vAlign w:val="center"/>
          </w:tcPr>
          <w:p>
            <w:pPr>
              <w:pStyle w:val="16"/>
              <w:rPr>
                <w:rFonts w:hint="eastAsia"/>
                <w:b/>
                <w:bCs/>
                <w:sz w:val="24"/>
                <w:szCs w:val="24"/>
              </w:rPr>
            </w:pPr>
            <w:r>
              <w:rPr>
                <w:rFonts w:hint="eastAsia"/>
                <w:b/>
                <w:bCs/>
                <w:sz w:val="24"/>
                <w:szCs w:val="24"/>
              </w:rPr>
              <w:t>保护区与规划协调性分析</w:t>
            </w:r>
          </w:p>
        </w:tc>
        <w:tc>
          <w:tcPr>
            <w:tcW w:w="7581"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sz w:val="24"/>
                <w:szCs w:val="24"/>
              </w:rPr>
            </w:pPr>
            <w:r>
              <w:rPr>
                <w:rFonts w:hint="eastAsia" w:ascii="Times New Roman" w:hAnsi="Times New Roman" w:eastAsia="宋体"/>
                <w:sz w:val="24"/>
                <w:szCs w:val="24"/>
              </w:rPr>
              <w:t>根据《</w:t>
            </w:r>
            <w:r>
              <w:rPr>
                <w:rFonts w:hint="eastAsia"/>
                <w:sz w:val="24"/>
                <w:szCs w:val="24"/>
                <w:lang w:eastAsia="zh-CN"/>
              </w:rPr>
              <w:t>桃江</w:t>
            </w:r>
            <w:r>
              <w:rPr>
                <w:rFonts w:hint="eastAsia" w:ascii="Times New Roman" w:hAnsi="Times New Roman" w:eastAsia="宋体"/>
                <w:sz w:val="24"/>
                <w:szCs w:val="24"/>
              </w:rPr>
              <w:t>县土地利用总体规划（2006-2020年）》可知，</w:t>
            </w:r>
            <w:r>
              <w:rPr>
                <w:rFonts w:hint="eastAsia" w:ascii="宋体" w:hAnsi="宋体" w:cs="宋体"/>
                <w:color w:val="auto"/>
                <w:kern w:val="0"/>
                <w:sz w:val="24"/>
                <w:szCs w:val="24"/>
                <w:lang w:val="en-US" w:eastAsia="zh-CN"/>
              </w:rPr>
              <w:t>桃江县鸬鹚渡镇蒋家冲村曹家湾山溪水饮用水水源保护区位于板溪国有林场，</w:t>
            </w:r>
            <w:r>
              <w:rPr>
                <w:rFonts w:hint="eastAsia"/>
                <w:sz w:val="24"/>
                <w:szCs w:val="24"/>
                <w:lang w:eastAsia="zh-CN"/>
              </w:rPr>
              <w:t>周边都是</w:t>
            </w:r>
            <w:r>
              <w:rPr>
                <w:rFonts w:hint="eastAsia" w:ascii="Times New Roman" w:hAnsi="Times New Roman" w:eastAsia="宋体"/>
                <w:sz w:val="24"/>
                <w:szCs w:val="24"/>
              </w:rPr>
              <w:t>林业用地区，</w:t>
            </w:r>
            <w:r>
              <w:rPr>
                <w:rFonts w:hint="eastAsia" w:ascii="宋体" w:hAnsi="宋体" w:cs="宋体"/>
                <w:color w:val="auto"/>
                <w:kern w:val="0"/>
                <w:sz w:val="24"/>
                <w:szCs w:val="24"/>
                <w:lang w:val="en-US" w:eastAsia="zh-CN"/>
              </w:rPr>
              <w:t>桃江县鸬鹚渡镇蒋家冲村曹家湾山溪水饮用水水源保护区划定与原有林业用地并不冲突，因此本</w:t>
            </w:r>
            <w:r>
              <w:rPr>
                <w:rFonts w:hint="eastAsia" w:ascii="Times New Roman" w:hAnsi="Times New Roman" w:eastAsia="宋体"/>
                <w:sz w:val="24"/>
                <w:szCs w:val="24"/>
              </w:rPr>
              <w:t>集中式饮用水水源保护区划分与《</w:t>
            </w:r>
            <w:r>
              <w:rPr>
                <w:rFonts w:hint="eastAsia"/>
                <w:sz w:val="24"/>
                <w:szCs w:val="24"/>
                <w:lang w:eastAsia="zh-CN"/>
              </w:rPr>
              <w:t>桃江</w:t>
            </w:r>
            <w:r>
              <w:rPr>
                <w:rFonts w:hint="eastAsia" w:ascii="Times New Roman" w:hAnsi="Times New Roman" w:eastAsia="宋体"/>
                <w:sz w:val="24"/>
                <w:szCs w:val="24"/>
              </w:rPr>
              <w:t>县土地利用总体规划（2006-2020年）》基本相符合。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66" w:type="dxa"/>
            <w:noWrap w:val="0"/>
            <w:vAlign w:val="center"/>
          </w:tcPr>
          <w:p>
            <w:pPr>
              <w:pStyle w:val="16"/>
              <w:rPr>
                <w:rFonts w:hint="eastAsia"/>
                <w:b/>
                <w:bCs/>
                <w:sz w:val="24"/>
                <w:szCs w:val="24"/>
              </w:rPr>
            </w:pPr>
            <w:r>
              <w:rPr>
                <w:rFonts w:hint="eastAsia"/>
                <w:b/>
                <w:bCs/>
                <w:sz w:val="24"/>
                <w:szCs w:val="24"/>
              </w:rPr>
              <w:t>保护区制约因素</w:t>
            </w:r>
          </w:p>
        </w:tc>
        <w:tc>
          <w:tcPr>
            <w:tcW w:w="7581"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sz w:val="24"/>
                <w:szCs w:val="24"/>
              </w:rPr>
            </w:pPr>
            <w:r>
              <w:rPr>
                <w:rFonts w:hint="eastAsia"/>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noWrap w:val="0"/>
            <w:vAlign w:val="center"/>
          </w:tcPr>
          <w:p>
            <w:pPr>
              <w:pStyle w:val="16"/>
              <w:rPr>
                <w:b/>
                <w:bCs/>
                <w:sz w:val="24"/>
                <w:szCs w:val="24"/>
              </w:rPr>
            </w:pPr>
            <w:r>
              <w:rPr>
                <w:rFonts w:hint="eastAsia"/>
                <w:b/>
                <w:bCs/>
                <w:sz w:val="24"/>
                <w:szCs w:val="24"/>
              </w:rPr>
              <w:t>主要环境风险与防控措施</w:t>
            </w:r>
          </w:p>
        </w:tc>
        <w:tc>
          <w:tcPr>
            <w:tcW w:w="7581"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b/>
                <w:bCs/>
                <w:sz w:val="24"/>
                <w:szCs w:val="24"/>
                <w:lang w:val="en-US" w:eastAsia="zh-CN"/>
              </w:rPr>
            </w:pPr>
            <w:r>
              <w:rPr>
                <w:rFonts w:hint="eastAsia"/>
                <w:b/>
                <w:bCs/>
                <w:sz w:val="24"/>
                <w:szCs w:val="24"/>
              </w:rPr>
              <w:t>主要环境风险</w:t>
            </w:r>
            <w:r>
              <w:rPr>
                <w:rFonts w:hint="eastAsia"/>
                <w:b/>
                <w:bCs/>
                <w:sz w:val="24"/>
                <w:szCs w:val="24"/>
                <w:lang w:val="en-US" w:eastAsia="zh-CN"/>
              </w:rPr>
              <w:t>:</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sz w:val="24"/>
                <w:szCs w:val="24"/>
                <w:lang w:val="en-US" w:eastAsia="zh-CN"/>
              </w:rPr>
            </w:pPr>
            <w:r>
              <w:rPr>
                <w:rFonts w:hint="eastAsia"/>
                <w:sz w:val="24"/>
                <w:szCs w:val="24"/>
                <w:lang w:val="en-US" w:eastAsia="zh-CN"/>
              </w:rPr>
              <w:t>取水口西侧200米左右有一处放养式畜禽养殖户，主要为放养生猪，根据现场了解，年出栏量小于500头，属于规模以下养殖，养殖场与取水口存在10米左右的高差，取水口在上游方向，养殖场并非全封闭式隔开，因此不排除特殊情况下，放养的生猪可能会出现在水源保护区或水源集雨区，从而影响水源水质。</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sz w:val="24"/>
                <w:szCs w:val="24"/>
                <w:lang w:val="en-US" w:eastAsia="zh-CN"/>
              </w:rPr>
            </w:pPr>
            <w:r>
              <w:rPr>
                <w:rFonts w:hint="eastAsia"/>
                <w:sz w:val="24"/>
                <w:szCs w:val="24"/>
                <w:lang w:val="en-US" w:eastAsia="zh-CN"/>
              </w:rPr>
              <w:t>保护区西北侧1400米左右为桃江县久通锑业有限责任公司，该企业主要从事锑矿及其它有色金属矿勘探、开采、选矿、加工。企业内有4个排气，两个在50米以上，加工生产过程中排放的污染有颗粒物、锑及其化合物、砷及其化合物、镉及其化合物、汞及其化合物、锡及其化合物和铅及其化合物等。</w:t>
            </w:r>
          </w:p>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eastAsia="宋体"/>
                <w:b w:val="0"/>
                <w:bCs w:val="0"/>
                <w:sz w:val="24"/>
                <w:szCs w:val="24"/>
                <w:lang w:val="en-US" w:eastAsia="zh-CN"/>
              </w:rPr>
            </w:pPr>
            <w:r>
              <w:rPr>
                <w:rFonts w:hint="eastAsia"/>
                <w:b/>
                <w:bCs/>
                <w:sz w:val="24"/>
                <w:szCs w:val="24"/>
              </w:rPr>
              <w:t>防控措施</w:t>
            </w:r>
            <w:r>
              <w:rPr>
                <w:rFonts w:hint="eastAsia"/>
                <w:b/>
                <w:bCs/>
                <w:sz w:val="24"/>
                <w:szCs w:val="24"/>
                <w:lang w:val="en-US" w:eastAsia="zh-CN"/>
              </w:rPr>
              <w:t>:</w:t>
            </w:r>
            <w:r>
              <w:rPr>
                <w:rFonts w:hint="eastAsia"/>
                <w:b w:val="0"/>
                <w:bCs w:val="0"/>
                <w:sz w:val="24"/>
                <w:szCs w:val="24"/>
                <w:lang w:val="en-US" w:eastAsia="zh-CN"/>
              </w:rPr>
              <w:t>要求养殖户加强养殖场四周护栏建设，同时对水源地制定有效的隔离措施。请当地生态环境部门对</w:t>
            </w:r>
            <w:r>
              <w:rPr>
                <w:rFonts w:hint="eastAsia"/>
                <w:sz w:val="24"/>
                <w:szCs w:val="24"/>
                <w:lang w:val="en-US" w:eastAsia="zh-CN"/>
              </w:rPr>
              <w:t>桃江县久通锑业有限责任公司的废气排放重点关注，务必保证废气达标排放。定期对本水源水质进行重金属因子检测，如有超标趋势，当责令企业对废气再做深度处理。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966" w:type="dxa"/>
            <w:noWrap w:val="0"/>
            <w:vAlign w:val="center"/>
          </w:tcPr>
          <w:p>
            <w:pPr>
              <w:pStyle w:val="16"/>
              <w:rPr>
                <w:rFonts w:hint="eastAsia"/>
                <w:b/>
                <w:bCs/>
                <w:sz w:val="24"/>
                <w:szCs w:val="24"/>
              </w:rPr>
            </w:pPr>
            <w:r>
              <w:rPr>
                <w:rFonts w:hint="eastAsia"/>
                <w:b/>
                <w:bCs/>
                <w:sz w:val="24"/>
                <w:szCs w:val="24"/>
              </w:rPr>
              <w:t>规范化建设与管理要求</w:t>
            </w:r>
          </w:p>
        </w:tc>
        <w:tc>
          <w:tcPr>
            <w:tcW w:w="7581" w:type="dxa"/>
            <w:gridSpan w:val="22"/>
            <w:noWrap w:val="0"/>
            <w:vAlign w:val="top"/>
          </w:tcPr>
          <w:p>
            <w:pPr>
              <w:keepNext w:val="0"/>
              <w:keepLines w:val="0"/>
              <w:pageBreakBefore w:val="0"/>
              <w:numPr>
                <w:ilvl w:val="0"/>
                <w:numId w:val="0"/>
              </w:numPr>
              <w:kinsoku/>
              <w:wordWrap/>
              <w:overflowPunct/>
              <w:topLinePunct w:val="0"/>
              <w:bidi w:val="0"/>
              <w:spacing w:line="360" w:lineRule="auto"/>
              <w:ind w:left="420" w:leftChars="0"/>
              <w:jc w:val="left"/>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一、规范化建设</w:t>
            </w:r>
          </w:p>
          <w:p>
            <w:pPr>
              <w:keepNext w:val="0"/>
              <w:keepLines w:val="0"/>
              <w:pageBreakBefore w:val="0"/>
              <w:numPr>
                <w:ilvl w:val="0"/>
                <w:numId w:val="2"/>
              </w:numPr>
              <w:kinsoku/>
              <w:wordWrap/>
              <w:overflowPunct/>
              <w:topLinePunct w:val="0"/>
              <w:bidi w:val="0"/>
              <w:spacing w:line="360" w:lineRule="auto"/>
              <w:ind w:left="425" w:leftChars="0" w:hanging="425" w:firstLineChars="0"/>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：饮用水水源保护区标志的设置</w:t>
            </w:r>
          </w:p>
          <w:p>
            <w:pPr>
              <w:pStyle w:val="9"/>
              <w:ind w:left="0" w:leftChars="0" w:firstLine="0" w:firstLineChars="0"/>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拐点：饮用水水源保护区拐点一般设立于保护区顶点或明显拐点处。</w:t>
            </w:r>
          </w:p>
          <w:p>
            <w:pPr>
              <w:pStyle w:val="9"/>
              <w:ind w:left="0" w:leftChars="0" w:firstLine="0" w:firstLineChars="0"/>
              <w:jc w:val="center"/>
              <w:rPr>
                <w:rFonts w:hint="default" w:eastAsia="宋体" w:cs="Times New Roman"/>
                <w:kern w:val="2"/>
                <w:sz w:val="24"/>
                <w:szCs w:val="24"/>
                <w:lang w:val="en-US" w:eastAsia="zh-CN" w:bidi="ar-SA"/>
              </w:rPr>
            </w:pPr>
            <w:r>
              <w:rPr>
                <w:rFonts w:hint="eastAsia" w:eastAsia="宋体" w:cs="Times New Roman"/>
                <w:kern w:val="2"/>
                <w:sz w:val="24"/>
                <w:szCs w:val="24"/>
                <w:lang w:val="en-US" w:eastAsia="zh-CN" w:bidi="ar-SA"/>
              </w:rPr>
              <w:t>表1.1-1饮用水水源保护区拐点坐标统计表</w:t>
            </w:r>
          </w:p>
          <w:tbl>
            <w:tblPr>
              <w:tblStyle w:val="10"/>
              <w:tblW w:w="72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8"/>
              <w:gridCol w:w="1370"/>
              <w:gridCol w:w="2277"/>
              <w:gridCol w:w="2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0"/>
                      <w:szCs w:val="20"/>
                      <w:u w:val="none"/>
                    </w:rPr>
                  </w:pPr>
                  <w:r>
                    <w:rPr>
                      <w:rStyle w:val="19"/>
                      <w:rFonts w:hAnsi="宋体"/>
                      <w:lang w:val="en-US" w:eastAsia="zh-CN" w:bidi="ar"/>
                    </w:rPr>
                    <w:t>类别</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序号</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经度</w:t>
                  </w:r>
                </w:p>
              </w:tc>
              <w:tc>
                <w:tcPr>
                  <w:tcW w:w="1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一级保护区水域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111.9289686</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28.35441033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111.9289747</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28.35440555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111.9279446</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28.35265697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111.9280641</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28.35170558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111.9280547</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28.35170772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111.9279366</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28.35266368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一级保护区陆域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111.9288962</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28.35447384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111.929045</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28.35435314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111.9280378</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28.35263384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B4</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111.9281585</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28.35168434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B5</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111.927944</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28.35173262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B6</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111.9278367</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28.35269285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二级保护区水域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111.9279292</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28.3514245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111.9277173</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28.35077138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C3</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111.928083</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28.3494486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C4</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111.9280754</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28.34944911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C5</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111.9277113</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28.35076401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C6</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111.9267291</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28.34938428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C7</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111.9267228</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28.34938462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C8</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111.9277079</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28.35077272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C9</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111.9279212</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28.35142718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二级保护区陆域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111.9293729</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28.35412548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D2</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111.9284194</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28.35238473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D3</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111.928232</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28.35075074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D4</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111.9286071</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28.34941418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D5</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111.9262253</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28.34943564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111.9272312</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28.35104765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D7</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111.9274323</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28.3527133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D8</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111.9286031</w:t>
                  </w:r>
                </w:p>
              </w:tc>
              <w:tc>
                <w:tcPr>
                  <w:tcW w:w="1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28.35472362</w:t>
                  </w:r>
                </w:p>
              </w:tc>
            </w:tr>
          </w:tbl>
          <w:p>
            <w:pPr>
              <w:keepNext w:val="0"/>
              <w:keepLines w:val="0"/>
              <w:pageBreakBefore w:val="0"/>
              <w:kinsoku/>
              <w:wordWrap/>
              <w:overflowPunct/>
              <w:topLinePunct w:val="0"/>
              <w:bidi w:val="0"/>
              <w:spacing w:line="360" w:lineRule="auto"/>
              <w:jc w:val="left"/>
            </w:pPr>
            <w:r>
              <w:drawing>
                <wp:inline distT="0" distB="0" distL="114300" distR="114300">
                  <wp:extent cx="4490085" cy="3215005"/>
                  <wp:effectExtent l="0" t="0" r="571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490085" cy="3215005"/>
                          </a:xfrm>
                          <a:prstGeom prst="rect">
                            <a:avLst/>
                          </a:prstGeom>
                          <a:noFill/>
                          <a:ln>
                            <a:noFill/>
                          </a:ln>
                        </pic:spPr>
                      </pic:pic>
                    </a:graphicData>
                  </a:graphic>
                </wp:inline>
              </w:drawing>
            </w:r>
          </w:p>
          <w:p>
            <w:pPr>
              <w:pStyle w:val="9"/>
              <w:ind w:left="0" w:leftChars="0" w:firstLine="0" w:firstLineChars="0"/>
              <w:jc w:val="center"/>
              <w:rPr>
                <w:rFonts w:hint="default" w:eastAsia="仿宋_GB2312"/>
                <w:sz w:val="24"/>
                <w:szCs w:val="24"/>
                <w:lang w:val="en-US" w:eastAsia="zh-CN"/>
              </w:rPr>
            </w:pPr>
            <w:r>
              <w:rPr>
                <w:rFonts w:hint="eastAsia"/>
                <w:sz w:val="24"/>
                <w:szCs w:val="24"/>
                <w:lang w:eastAsia="zh-CN"/>
              </w:rPr>
              <w:t>图</w:t>
            </w:r>
            <w:r>
              <w:rPr>
                <w:rFonts w:hint="eastAsia"/>
                <w:sz w:val="24"/>
                <w:szCs w:val="24"/>
                <w:lang w:val="en-US" w:eastAsia="zh-CN"/>
              </w:rPr>
              <w:t>1.1-1</w:t>
            </w:r>
            <w:r>
              <w:rPr>
                <w:rFonts w:hint="eastAsia" w:eastAsia="宋体" w:cs="Times New Roman"/>
                <w:kern w:val="2"/>
                <w:sz w:val="24"/>
                <w:szCs w:val="24"/>
                <w:lang w:val="en-US" w:eastAsia="zh-CN" w:bidi="ar-SA"/>
              </w:rPr>
              <w:t>饮用水水源保护区拐点图</w:t>
            </w:r>
          </w:p>
          <w:p>
            <w:pPr>
              <w:keepNext w:val="0"/>
              <w:keepLines w:val="0"/>
              <w:pageBreakBefore w:val="0"/>
              <w:kinsoku/>
              <w:wordWrap/>
              <w:overflowPunct/>
              <w:topLinePunct w:val="0"/>
              <w:bidi w:val="0"/>
              <w:spacing w:line="360" w:lineRule="auto"/>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界标：饮用水水源保护区界标一般设立于保护区陆域界线的顶点处。</w:t>
            </w:r>
          </w:p>
          <w:p>
            <w:pPr>
              <w:bidi w:val="0"/>
              <w:jc w:val="center"/>
              <w:rPr>
                <w:rFonts w:hint="eastAsia"/>
                <w:lang w:val="en-US" w:eastAsia="zh-CN"/>
              </w:rPr>
            </w:pPr>
            <w:r>
              <w:rPr>
                <w:rFonts w:hint="eastAsia" w:eastAsia="宋体" w:cs="Times New Roman"/>
                <w:kern w:val="2"/>
                <w:sz w:val="24"/>
                <w:szCs w:val="24"/>
                <w:lang w:val="en-US" w:eastAsia="zh-CN" w:bidi="ar-SA"/>
              </w:rPr>
              <w:t>表1.1-2饮用水水源保护区界标坐标统计表</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006"/>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6"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仿宋_GB2312" w:cs="Times New Roman"/>
                      <w:b/>
                      <w:color w:val="auto"/>
                      <w:kern w:val="0"/>
                      <w:sz w:val="20"/>
                      <w:szCs w:val="20"/>
                    </w:rPr>
                  </w:pPr>
                  <w:r>
                    <w:rPr>
                      <w:rFonts w:hint="default" w:ascii="Times New Roman" w:hAnsi="Times New Roman" w:eastAsia="仿宋_GB2312" w:cs="Times New Roman"/>
                      <w:b/>
                      <w:color w:val="auto"/>
                      <w:kern w:val="0"/>
                      <w:sz w:val="20"/>
                      <w:szCs w:val="20"/>
                    </w:rPr>
                    <w:t>序号</w:t>
                  </w:r>
                </w:p>
              </w:tc>
              <w:tc>
                <w:tcPr>
                  <w:tcW w:w="2044"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经度</w:t>
                  </w:r>
                </w:p>
              </w:tc>
              <w:tc>
                <w:tcPr>
                  <w:tcW w:w="214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J1</w:t>
                  </w:r>
                </w:p>
              </w:tc>
              <w:tc>
                <w:tcPr>
                  <w:tcW w:w="2943"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111.9293733</w:t>
                  </w:r>
                </w:p>
              </w:tc>
              <w:tc>
                <w:tcPr>
                  <w:tcW w:w="3095"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28.35412228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J2</w:t>
                  </w:r>
                </w:p>
              </w:tc>
              <w:tc>
                <w:tcPr>
                  <w:tcW w:w="2943"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111.9286114</w:t>
                  </w:r>
                </w:p>
              </w:tc>
              <w:tc>
                <w:tcPr>
                  <w:tcW w:w="3095"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28.3494206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J3</w:t>
                  </w:r>
                </w:p>
              </w:tc>
              <w:tc>
                <w:tcPr>
                  <w:tcW w:w="2943"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111.926227</w:t>
                  </w:r>
                </w:p>
              </w:tc>
              <w:tc>
                <w:tcPr>
                  <w:tcW w:w="3095"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28.34943937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61"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J4</w:t>
                  </w:r>
                </w:p>
              </w:tc>
              <w:tc>
                <w:tcPr>
                  <w:tcW w:w="2943"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111.9286034</w:t>
                  </w:r>
                </w:p>
              </w:tc>
              <w:tc>
                <w:tcPr>
                  <w:tcW w:w="3095" w:type="dxa"/>
                  <w:noWrap w:val="0"/>
                  <w:vAlign w:val="center"/>
                </w:tcPr>
                <w:p>
                  <w:pPr>
                    <w:keepNext w:val="0"/>
                    <w:keepLines w:val="0"/>
                    <w:pageBreakBefore w:val="0"/>
                    <w:widowControl/>
                    <w:suppressLineNumbers w:val="0"/>
                    <w:kinsoku/>
                    <w:wordWrap/>
                    <w:overflowPunct/>
                    <w:topLinePunct w:val="0"/>
                    <w:bidi w:val="0"/>
                    <w:spacing w:line="240" w:lineRule="auto"/>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28.35472869</w:t>
                  </w:r>
                </w:p>
              </w:tc>
            </w:tr>
          </w:tbl>
          <w:p>
            <w:pPr>
              <w:keepNext w:val="0"/>
              <w:keepLines w:val="0"/>
              <w:pageBreakBefore w:val="0"/>
              <w:kinsoku/>
              <w:wordWrap/>
              <w:overflowPunct/>
              <w:topLinePunct w:val="0"/>
              <w:bidi w:val="0"/>
              <w:spacing w:line="360" w:lineRule="auto"/>
              <w:jc w:val="center"/>
              <w:rPr>
                <w:rFonts w:hint="eastAsia"/>
                <w:lang w:val="en-US" w:eastAsia="zh-CN"/>
              </w:rPr>
            </w:pPr>
            <w:r>
              <w:drawing>
                <wp:inline distT="0" distB="0" distL="114300" distR="114300">
                  <wp:extent cx="4490085" cy="3215005"/>
                  <wp:effectExtent l="0" t="0" r="571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4490085" cy="3215005"/>
                          </a:xfrm>
                          <a:prstGeom prst="rect">
                            <a:avLst/>
                          </a:prstGeom>
                          <a:noFill/>
                          <a:ln>
                            <a:noFill/>
                          </a:ln>
                        </pic:spPr>
                      </pic:pic>
                    </a:graphicData>
                  </a:graphic>
                </wp:inline>
              </w:drawing>
            </w:r>
            <w:r>
              <w:rPr>
                <w:rFonts w:hint="eastAsia"/>
                <w:sz w:val="24"/>
                <w:szCs w:val="24"/>
                <w:lang w:eastAsia="zh-CN"/>
              </w:rPr>
              <w:t>图</w:t>
            </w:r>
            <w:r>
              <w:rPr>
                <w:rFonts w:hint="eastAsia"/>
                <w:sz w:val="24"/>
                <w:szCs w:val="24"/>
                <w:lang w:val="en-US" w:eastAsia="zh-CN"/>
              </w:rPr>
              <w:t>1.1-2</w:t>
            </w:r>
            <w:r>
              <w:rPr>
                <w:rFonts w:hint="eastAsia" w:eastAsia="宋体" w:cs="Times New Roman"/>
                <w:kern w:val="2"/>
                <w:sz w:val="24"/>
                <w:szCs w:val="24"/>
                <w:lang w:val="en-US" w:eastAsia="zh-CN" w:bidi="ar-SA"/>
              </w:rPr>
              <w:t>饮用水水源保护区界标图</w:t>
            </w:r>
          </w:p>
          <w:p>
            <w:pPr>
              <w:keepNext w:val="0"/>
              <w:keepLines w:val="0"/>
              <w:pageBreakBefore w:val="0"/>
              <w:kinsoku/>
              <w:wordWrap/>
              <w:overflowPunct/>
              <w:topLinePunct w:val="0"/>
              <w:bidi w:val="0"/>
              <w:spacing w:line="360" w:lineRule="auto"/>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宣传警示牌：宣传及警示牌在重要路段、人口较多的村庄、主要拐点或交通较为复杂的区域进行设置。本保护区内无交通路段，周边鲜有人员流动，因此不设警示牌，取水口下游方向设置宣传牌。</w:t>
            </w:r>
          </w:p>
          <w:p>
            <w:pPr>
              <w:bidi w:val="0"/>
              <w:jc w:val="center"/>
              <w:rPr>
                <w:rFonts w:hint="eastAsia"/>
                <w:lang w:val="en-US" w:eastAsia="zh-CN"/>
              </w:rPr>
            </w:pPr>
            <w:r>
              <w:rPr>
                <w:rFonts w:hint="eastAsia" w:eastAsia="宋体" w:cs="Times New Roman"/>
                <w:kern w:val="2"/>
                <w:sz w:val="24"/>
                <w:szCs w:val="24"/>
                <w:lang w:val="en-US" w:eastAsia="zh-CN" w:bidi="ar-SA"/>
              </w:rPr>
              <w:t>表1.1-3饮用水水源保护区宣传牌坐标统计表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941"/>
              <w:gridCol w:w="2389"/>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02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b/>
                      <w:color w:val="auto"/>
                      <w:kern w:val="0"/>
                      <w:sz w:val="20"/>
                      <w:szCs w:val="20"/>
                      <w:lang w:val="en-US" w:eastAsia="zh-CN"/>
                    </w:rPr>
                  </w:pPr>
                  <w:r>
                    <w:rPr>
                      <w:rFonts w:hint="eastAsia" w:ascii="Times New Roman" w:hAnsi="Times New Roman" w:cs="Times New Roman"/>
                      <w:b/>
                      <w:color w:val="auto"/>
                      <w:kern w:val="0"/>
                      <w:sz w:val="20"/>
                      <w:szCs w:val="20"/>
                      <w:lang w:val="en-US" w:eastAsia="zh-CN"/>
                    </w:rPr>
                    <w:t>类别</w:t>
                  </w:r>
                </w:p>
              </w:tc>
              <w:tc>
                <w:tcPr>
                  <w:tcW w:w="640"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b/>
                      <w:color w:val="auto"/>
                      <w:kern w:val="0"/>
                      <w:sz w:val="20"/>
                      <w:szCs w:val="20"/>
                    </w:rPr>
                  </w:pPr>
                  <w:r>
                    <w:rPr>
                      <w:rFonts w:hint="default" w:ascii="Times New Roman" w:hAnsi="Times New Roman" w:eastAsia="仿宋_GB2312" w:cs="Times New Roman"/>
                      <w:b/>
                      <w:color w:val="auto"/>
                      <w:kern w:val="0"/>
                      <w:sz w:val="20"/>
                      <w:szCs w:val="20"/>
                    </w:rPr>
                    <w:t>序号</w:t>
                  </w:r>
                </w:p>
              </w:tc>
              <w:tc>
                <w:tcPr>
                  <w:tcW w:w="1624"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经度</w:t>
                  </w:r>
                </w:p>
              </w:tc>
              <w:tc>
                <w:tcPr>
                  <w:tcW w:w="170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 w:type="pct"/>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宣传牌</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F1</w:t>
                  </w:r>
                </w:p>
              </w:tc>
              <w:tc>
                <w:tcPr>
                  <w:tcW w:w="23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111.9293894</w:t>
                  </w:r>
                </w:p>
              </w:tc>
              <w:tc>
                <w:tcPr>
                  <w:tcW w:w="2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28.35483575</w:t>
                  </w:r>
                </w:p>
              </w:tc>
            </w:tr>
          </w:tbl>
          <w:p>
            <w:pPr>
              <w:keepNext w:val="0"/>
              <w:keepLines w:val="0"/>
              <w:pageBreakBefore w:val="0"/>
              <w:numPr>
                <w:ilvl w:val="0"/>
                <w:numId w:val="0"/>
              </w:numPr>
              <w:kinsoku/>
              <w:wordWrap/>
              <w:overflowPunct/>
              <w:topLinePunct w:val="0"/>
              <w:bidi w:val="0"/>
              <w:spacing w:line="360" w:lineRule="auto"/>
              <w:ind w:leftChars="0"/>
              <w:jc w:val="left"/>
            </w:pPr>
            <w:r>
              <w:drawing>
                <wp:inline distT="0" distB="0" distL="114300" distR="114300">
                  <wp:extent cx="4475480" cy="3204210"/>
                  <wp:effectExtent l="0" t="0" r="127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4475480" cy="320421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auto"/>
              <w:jc w:val="center"/>
              <w:rPr>
                <w:rFonts w:hint="eastAsia"/>
                <w:lang w:val="en-US" w:eastAsia="zh-CN"/>
              </w:rPr>
            </w:pPr>
            <w:r>
              <w:rPr>
                <w:rFonts w:hint="eastAsia"/>
                <w:sz w:val="24"/>
                <w:szCs w:val="24"/>
                <w:lang w:eastAsia="zh-CN"/>
              </w:rPr>
              <w:t>图</w:t>
            </w:r>
            <w:r>
              <w:rPr>
                <w:rFonts w:hint="eastAsia"/>
                <w:sz w:val="24"/>
                <w:szCs w:val="24"/>
                <w:lang w:val="en-US" w:eastAsia="zh-CN"/>
              </w:rPr>
              <w:t>1.1-3</w:t>
            </w:r>
            <w:r>
              <w:rPr>
                <w:rFonts w:hint="eastAsia" w:eastAsia="宋体" w:cs="Times New Roman"/>
                <w:kern w:val="2"/>
                <w:sz w:val="24"/>
                <w:szCs w:val="24"/>
                <w:lang w:val="en-US" w:eastAsia="zh-CN" w:bidi="ar-SA"/>
              </w:rPr>
              <w:t>饮用水水源保护区宣传牌坐标图</w:t>
            </w:r>
          </w:p>
          <w:p>
            <w:pPr>
              <w:keepNext w:val="0"/>
              <w:keepLines w:val="0"/>
              <w:pageBreakBefore w:val="0"/>
              <w:numPr>
                <w:ilvl w:val="0"/>
                <w:numId w:val="0"/>
              </w:numPr>
              <w:kinsoku/>
              <w:wordWrap/>
              <w:overflowPunct/>
              <w:topLinePunct w:val="0"/>
              <w:bidi w:val="0"/>
              <w:spacing w:line="360" w:lineRule="auto"/>
              <w:ind w:left="420" w:leftChars="0"/>
              <w:jc w:val="left"/>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二、管理要求</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任何单位和个人不得损毁、涂改或者擅自移动饮用水水源保护区地理界标、警示标志、隔离防护设施。</w:t>
            </w:r>
          </w:p>
          <w:p>
            <w:pPr>
              <w:keepNext w:val="0"/>
              <w:keepLines w:val="0"/>
              <w:pageBreakBefore w:val="0"/>
              <w:widowControl/>
              <w:numPr>
                <w:ilvl w:val="0"/>
                <w:numId w:val="3"/>
              </w:numPr>
              <w:suppressLineNumbers w:val="0"/>
              <w:kinsoku/>
              <w:wordWrap/>
              <w:overflowPunct/>
              <w:topLinePunct w:val="0"/>
              <w:bidi w:val="0"/>
              <w:spacing w:line="360" w:lineRule="auto"/>
              <w:ind w:left="425" w:leftChars="0" w:hanging="425" w:firstLineChars="0"/>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一级保护区内必须遵守下列规定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禁止新建、扩建与供水设施和保护水源无关的建设项目；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禁止向水域排放污水；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禁止堆置和存放工业废渣、城市垃圾、粪便和其他废弃物；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禁止设置油库，存放油类物资；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禁止从事放养禽畜和网箱养殖活动；</w:t>
            </w:r>
          </w:p>
          <w:p>
            <w:pPr>
              <w:keepNext w:val="0"/>
              <w:keepLines w:val="0"/>
              <w:pageBreakBefore w:val="0"/>
              <w:widowControl/>
              <w:numPr>
                <w:ilvl w:val="0"/>
                <w:numId w:val="3"/>
              </w:numPr>
              <w:suppressLineNumbers w:val="0"/>
              <w:kinsoku/>
              <w:wordWrap/>
              <w:overflowPunct/>
              <w:topLinePunct w:val="0"/>
              <w:bidi w:val="0"/>
              <w:spacing w:line="360" w:lineRule="auto"/>
              <w:ind w:left="425" w:leftChars="0" w:hanging="425" w:firstLineChars="0"/>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二级保护区内必须遵守下列规定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禁止新建、改建、扩建排放污染物的建设项目，原有排污口依法拆除或者关闭；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禁止建立墓地；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禁止设置畜禽养殖场、养殖小区；</w:t>
            </w:r>
          </w:p>
          <w:p>
            <w:pPr>
              <w:pStyle w:val="15"/>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0" w:firstLineChars="0"/>
              <w:jc w:val="left"/>
              <w:textAlignment w:val="auto"/>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水源地水质日常监测</w:t>
            </w:r>
          </w:p>
          <w:p>
            <w:pPr>
              <w:pStyle w:val="15"/>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常规监测：按照相关部门的要求定期</w:t>
            </w:r>
            <w:r>
              <w:rPr>
                <w:rFonts w:hint="eastAsia" w:ascii="Times New Roman" w:hAnsi="Times New Roman" w:eastAsia="宋体" w:cs="Times New Roman"/>
                <w:kern w:val="2"/>
                <w:sz w:val="24"/>
                <w:szCs w:val="24"/>
                <w:lang w:val="en-US" w:eastAsia="zh-CN" w:bidi="ar-SA"/>
              </w:rPr>
              <w:t>对饮用水水源地</w:t>
            </w:r>
            <w:r>
              <w:rPr>
                <w:rFonts w:hint="default" w:ascii="Times New Roman" w:hAnsi="Times New Roman" w:eastAsia="宋体" w:cs="Times New Roman"/>
                <w:kern w:val="2"/>
                <w:sz w:val="24"/>
                <w:szCs w:val="24"/>
                <w:lang w:val="en-US" w:eastAsia="zh-CN" w:bidi="ar-SA"/>
              </w:rPr>
              <w:t>进行</w:t>
            </w:r>
            <w:r>
              <w:rPr>
                <w:rFonts w:hint="eastAsia" w:ascii="Times New Roman" w:hAnsi="Times New Roman" w:eastAsia="宋体" w:cs="Times New Roman"/>
                <w:kern w:val="2"/>
                <w:sz w:val="24"/>
                <w:szCs w:val="24"/>
                <w:lang w:val="en-US" w:eastAsia="zh-CN" w:bidi="ar-SA"/>
              </w:rPr>
              <w:t>常规监测，监测因子包括</w:t>
            </w:r>
            <w:r>
              <w:rPr>
                <w:rFonts w:hint="default" w:ascii="Times New Roman" w:hAnsi="Times New Roman" w:eastAsia="宋体" w:cs="Times New Roman"/>
                <w:kern w:val="2"/>
                <w:sz w:val="24"/>
                <w:szCs w:val="24"/>
                <w:lang w:val="en-US" w:eastAsia="zh-CN" w:bidi="ar-SA"/>
              </w:rPr>
              <w:t>《地表水环境质量标准》（GB 3838-2002）表1的基本项目（23项，化学需氧量除外）</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表2的补充项目（5项），表3中的优选特定项目（33项）；</w:t>
            </w:r>
            <w:r>
              <w:rPr>
                <w:rFonts w:hint="eastAsia" w:ascii="Times New Roman" w:hAnsi="Times New Roman" w:eastAsia="宋体" w:cs="Times New Roman"/>
                <w:kern w:val="2"/>
                <w:sz w:val="24"/>
                <w:szCs w:val="24"/>
                <w:lang w:val="en-US" w:eastAsia="zh-CN" w:bidi="ar-SA"/>
              </w:rPr>
              <w:t>共61项。</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全指标监测</w:t>
            </w:r>
            <w:r>
              <w:rPr>
                <w:rFonts w:hint="default" w:ascii="Times New Roman" w:hAnsi="Times New Roman" w:eastAsia="宋体" w:cs="Times New Roman"/>
                <w:kern w:val="2"/>
                <w:sz w:val="24"/>
                <w:szCs w:val="24"/>
                <w:lang w:val="en-US" w:eastAsia="zh-CN" w:bidi="ar-SA"/>
              </w:rPr>
              <w:t>：按照相关部门的要求定期</w:t>
            </w:r>
            <w:r>
              <w:rPr>
                <w:rFonts w:hint="eastAsia" w:ascii="Times New Roman" w:hAnsi="Times New Roman" w:cs="Times New Roman"/>
                <w:kern w:val="2"/>
                <w:sz w:val="24"/>
                <w:szCs w:val="24"/>
                <w:lang w:val="en-US" w:eastAsia="zh-CN" w:bidi="ar-SA"/>
              </w:rPr>
              <w:t>对饮用水水源地</w:t>
            </w:r>
            <w:r>
              <w:rPr>
                <w:rFonts w:hint="default" w:ascii="Times New Roman" w:hAnsi="Times New Roman" w:eastAsia="宋体" w:cs="Times New Roman"/>
                <w:kern w:val="2"/>
                <w:sz w:val="24"/>
                <w:szCs w:val="24"/>
                <w:lang w:val="en-US" w:eastAsia="zh-CN" w:bidi="ar-SA"/>
              </w:rPr>
              <w:t>进行</w:t>
            </w:r>
            <w:r>
              <w:rPr>
                <w:rFonts w:hint="eastAsia" w:ascii="Times New Roman" w:hAnsi="Times New Roman" w:cs="Times New Roman"/>
                <w:kern w:val="2"/>
                <w:sz w:val="24"/>
                <w:szCs w:val="24"/>
                <w:lang w:val="en-US" w:eastAsia="zh-CN" w:bidi="ar-SA"/>
              </w:rPr>
              <w:t>全指标监测，监测因子包括</w:t>
            </w:r>
            <w:r>
              <w:rPr>
                <w:rFonts w:hint="default" w:ascii="Times New Roman" w:hAnsi="Times New Roman" w:eastAsia="宋体" w:cs="Times New Roman"/>
                <w:kern w:val="2"/>
                <w:sz w:val="24"/>
                <w:szCs w:val="24"/>
                <w:lang w:val="en-US" w:eastAsia="zh-CN" w:bidi="ar-SA"/>
              </w:rPr>
              <w:t>《地表水环境质量标准》（GB3838-2002）表1、表2、表3中所有项目。</w:t>
            </w:r>
          </w:p>
          <w:p>
            <w:pPr>
              <w:pStyle w:val="15"/>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0" w:firstLineChars="0"/>
              <w:jc w:val="left"/>
              <w:textAlignment w:val="auto"/>
              <w:rPr>
                <w:rFonts w:hint="default"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应急预案</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立应急机制。制定突发性环境危害事件的应急预案。成立突发性环境危害事件应急小组，准备突发性应急事件所需的物品、相关仪器和药品，组织突发性环境事故应急处置人员有关应急知识和处理技术的专业培训。</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报送县级应急管理局，</w:t>
            </w:r>
            <w:r>
              <w:rPr>
                <w:rFonts w:hint="default" w:ascii="Times New Roman" w:hAnsi="Times New Roman" w:eastAsia="宋体" w:cs="Times New Roman"/>
                <w:kern w:val="2"/>
                <w:sz w:val="24"/>
                <w:szCs w:val="24"/>
                <w:lang w:val="en-US" w:eastAsia="zh-CN" w:bidi="ar-SA"/>
              </w:rPr>
              <w:t>编制</w:t>
            </w:r>
            <w:r>
              <w:rPr>
                <w:rFonts w:hint="eastAsia" w:cs="Times New Roman"/>
                <w:kern w:val="2"/>
                <w:sz w:val="24"/>
                <w:szCs w:val="24"/>
                <w:lang w:val="en-US" w:eastAsia="zh-CN" w:bidi="ar-SA"/>
              </w:rPr>
              <w:t>桃江</w:t>
            </w:r>
            <w:r>
              <w:rPr>
                <w:rFonts w:hint="eastAsia" w:ascii="Times New Roman" w:hAnsi="Times New Roman" w:eastAsia="宋体" w:cs="Times New Roman"/>
                <w:kern w:val="2"/>
                <w:sz w:val="24"/>
                <w:szCs w:val="24"/>
                <w:lang w:val="en-US" w:eastAsia="zh-CN" w:bidi="ar-SA"/>
              </w:rPr>
              <w:t>县全县饮用水水源地</w:t>
            </w:r>
            <w:r>
              <w:rPr>
                <w:rFonts w:hint="default" w:ascii="Times New Roman" w:hAnsi="Times New Roman" w:eastAsia="宋体" w:cs="Times New Roman"/>
                <w:kern w:val="2"/>
                <w:sz w:val="24"/>
                <w:szCs w:val="24"/>
                <w:lang w:val="en-US" w:eastAsia="zh-CN" w:bidi="ar-SA"/>
              </w:rPr>
              <w:t>环境应急预案。明确污染事件的预防、预警和应急措施，建立突发性环境危害事件的分类、分级标准，制定各级事件应急响应的措施，包括应急指挥机构、应急工作组组成、先期处置方式和内容、响应程序、信息报送、指挥协调、应急措施、应急监测、安全防护、信息发布、善后处理、事件评估等内容。定期开展突发环境事件应急演练，根据演练情况，进一步完善风险防范措施，提高风险防控水平，避免或减少对水源地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noWrap w:val="0"/>
            <w:vAlign w:val="center"/>
          </w:tcPr>
          <w:p>
            <w:pPr>
              <w:pStyle w:val="16"/>
              <w:rPr>
                <w:rFonts w:hint="eastAsia"/>
                <w:b/>
                <w:bCs/>
                <w:sz w:val="24"/>
                <w:szCs w:val="24"/>
              </w:rPr>
            </w:pPr>
            <w:r>
              <w:rPr>
                <w:rFonts w:hint="eastAsia"/>
                <w:b/>
                <w:bCs/>
                <w:sz w:val="24"/>
                <w:szCs w:val="24"/>
              </w:rPr>
              <w:t>政府各部门及专家意见落实情况</w:t>
            </w:r>
          </w:p>
        </w:tc>
        <w:tc>
          <w:tcPr>
            <w:tcW w:w="7581" w:type="dxa"/>
            <w:gridSpan w:val="2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eastAsia="宋体"/>
                <w:sz w:val="24"/>
                <w:szCs w:val="24"/>
              </w:rPr>
            </w:pPr>
          </w:p>
        </w:tc>
      </w:tr>
    </w:tbl>
    <w:p>
      <w:pPr>
        <w:rPr>
          <w:rFonts w:hint="eastAsia" w:ascii="仿宋_GB2312" w:hAnsi="仿宋_GB2312" w:eastAsia="仿宋_GB2312" w:cs="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FA5F4"/>
    <w:multiLevelType w:val="singleLevel"/>
    <w:tmpl w:val="AA7FA5F4"/>
    <w:lvl w:ilvl="0" w:tentative="0">
      <w:start w:val="1"/>
      <w:numFmt w:val="decimal"/>
      <w:lvlText w:val="(%1)"/>
      <w:lvlJc w:val="left"/>
      <w:pPr>
        <w:ind w:left="425" w:hanging="425"/>
      </w:pPr>
      <w:rPr>
        <w:rFonts w:hint="default"/>
      </w:rPr>
    </w:lvl>
  </w:abstractNum>
  <w:abstractNum w:abstractNumId="1">
    <w:nsid w:val="F21C80D8"/>
    <w:multiLevelType w:val="singleLevel"/>
    <w:tmpl w:val="F21C80D8"/>
    <w:lvl w:ilvl="0" w:tentative="0">
      <w:start w:val="1"/>
      <w:numFmt w:val="decimal"/>
      <w:lvlText w:val="(%1)"/>
      <w:lvlJc w:val="left"/>
      <w:pPr>
        <w:ind w:left="425" w:hanging="425"/>
      </w:pPr>
      <w:rPr>
        <w:rFonts w:hint="default"/>
      </w:rPr>
    </w:lvl>
  </w:abstractNum>
  <w:abstractNum w:abstractNumId="2">
    <w:nsid w:val="4BE820F9"/>
    <w:multiLevelType w:val="singleLevel"/>
    <w:tmpl w:val="4BE820F9"/>
    <w:lvl w:ilvl="0" w:tentative="0">
      <w:start w:val="3"/>
      <w:numFmt w:val="chineseCounting"/>
      <w:suff w:val="nothing"/>
      <w:lvlText w:val="%1、"/>
      <w:lvlJc w:val="left"/>
      <w:rPr>
        <w:rFonts w:hint="eastAsia"/>
      </w:rPr>
    </w:lvl>
  </w:abstractNum>
  <w:abstractNum w:abstractNumId="3">
    <w:nsid w:val="71D0AF11"/>
    <w:multiLevelType w:val="singleLevel"/>
    <w:tmpl w:val="71D0AF11"/>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zMDhmZjYyYmU2ZDlhMzc0YTU3MTI4MTk5NzhiMjcifQ=="/>
  </w:docVars>
  <w:rsids>
    <w:rsidRoot w:val="00172A27"/>
    <w:rsid w:val="011035C7"/>
    <w:rsid w:val="033B5440"/>
    <w:rsid w:val="099B3273"/>
    <w:rsid w:val="11EB44B3"/>
    <w:rsid w:val="17D01902"/>
    <w:rsid w:val="17D532A0"/>
    <w:rsid w:val="17D67D56"/>
    <w:rsid w:val="1D55030B"/>
    <w:rsid w:val="23D86C35"/>
    <w:rsid w:val="25BC4457"/>
    <w:rsid w:val="2B2D3014"/>
    <w:rsid w:val="2EE81722"/>
    <w:rsid w:val="36FA18F0"/>
    <w:rsid w:val="3BA8684F"/>
    <w:rsid w:val="3E1A483B"/>
    <w:rsid w:val="3E844BEA"/>
    <w:rsid w:val="449014E6"/>
    <w:rsid w:val="45FD67B8"/>
    <w:rsid w:val="464C0F6A"/>
    <w:rsid w:val="4AD97FA4"/>
    <w:rsid w:val="4EDA5577"/>
    <w:rsid w:val="51836E5C"/>
    <w:rsid w:val="59405B01"/>
    <w:rsid w:val="5AC61309"/>
    <w:rsid w:val="669C1F39"/>
    <w:rsid w:val="66EB3BE2"/>
    <w:rsid w:val="70872778"/>
    <w:rsid w:val="7335107C"/>
    <w:rsid w:val="74AE2816"/>
    <w:rsid w:val="76BD5B63"/>
    <w:rsid w:val="7BC241FC"/>
    <w:rsid w:val="7C6E5DE9"/>
    <w:rsid w:val="7D4E29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5">
    <w:name w:val="heading 1"/>
    <w:basedOn w:val="1"/>
    <w:next w:val="1"/>
    <w:link w:val="14"/>
    <w:qFormat/>
    <w:uiPriority w:val="0"/>
    <w:pPr>
      <w:keepNext/>
      <w:keepLines/>
      <w:adjustRightInd w:val="0"/>
      <w:snapToGrid w:val="0"/>
      <w:ind w:left="431" w:firstLine="0" w:firstLineChars="0"/>
      <w:jc w:val="center"/>
      <w:outlineLvl w:val="0"/>
    </w:pPr>
    <w:rPr>
      <w:rFonts w:ascii="Times New Roman" w:hAnsi="Times New Roman" w:eastAsia="黑体"/>
      <w:b/>
      <w:bCs/>
      <w:kern w:val="44"/>
      <w:sz w:val="30"/>
      <w:szCs w:val="44"/>
    </w:rPr>
  </w:style>
  <w:style w:type="paragraph" w:styleId="6">
    <w:name w:val="heading 2"/>
    <w:basedOn w:val="1"/>
    <w:next w:val="1"/>
    <w:link w:val="12"/>
    <w:semiHidden/>
    <w:unhideWhenUsed/>
    <w:qFormat/>
    <w:uiPriority w:val="0"/>
    <w:pPr>
      <w:keepNext/>
      <w:keepLines/>
      <w:tabs>
        <w:tab w:val="left" w:pos="0"/>
      </w:tabs>
      <w:adjustRightInd w:val="0"/>
      <w:snapToGrid w:val="0"/>
      <w:spacing w:before="50" w:beforeLines="50"/>
      <w:ind w:firstLine="0" w:firstLineChars="0"/>
      <w:jc w:val="left"/>
      <w:outlineLvl w:val="1"/>
    </w:pPr>
    <w:rPr>
      <w:rFonts w:ascii="Times New Roman" w:hAnsi="Times New Roman" w:eastAsia="黑体"/>
      <w:b/>
      <w:bCs/>
      <w:sz w:val="30"/>
      <w:szCs w:val="32"/>
    </w:rPr>
  </w:style>
  <w:style w:type="paragraph" w:styleId="7">
    <w:name w:val="heading 3"/>
    <w:basedOn w:val="1"/>
    <w:next w:val="1"/>
    <w:link w:val="13"/>
    <w:semiHidden/>
    <w:unhideWhenUsed/>
    <w:qFormat/>
    <w:uiPriority w:val="0"/>
    <w:pPr>
      <w:keepNext/>
      <w:keepLines/>
      <w:spacing w:before="260" w:after="260" w:line="360" w:lineRule="auto"/>
      <w:outlineLvl w:val="2"/>
    </w:pPr>
    <w:rPr>
      <w:rFonts w:ascii="Times New Roman" w:hAnsi="Times New Roman" w:eastAsia="宋体"/>
      <w:b/>
      <w:bCs/>
      <w:sz w:val="24"/>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szCs w:val="22"/>
      <w:lang w:val="en-US" w:eastAsia="zh-CN"/>
    </w:rPr>
  </w:style>
  <w:style w:type="paragraph" w:styleId="3">
    <w:name w:val="Body Text"/>
    <w:basedOn w:val="1"/>
    <w:next w:val="4"/>
    <w:qFormat/>
    <w:uiPriority w:val="0"/>
    <w:pPr>
      <w:spacing w:after="120"/>
    </w:pPr>
  </w:style>
  <w:style w:type="paragraph" w:customStyle="1" w:styleId="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Body Text Indent"/>
    <w:basedOn w:val="1"/>
    <w:qFormat/>
    <w:uiPriority w:val="0"/>
    <w:pPr>
      <w:spacing w:after="120" w:afterLines="0"/>
      <w:ind w:left="420" w:leftChars="200"/>
    </w:pPr>
  </w:style>
  <w:style w:type="paragraph" w:styleId="9">
    <w:name w:val="Body Text First Indent 2"/>
    <w:basedOn w:val="8"/>
    <w:qFormat/>
    <w:uiPriority w:val="0"/>
    <w:pPr>
      <w:ind w:firstLine="420" w:firstLineChars="200"/>
    </w:pPr>
  </w:style>
  <w:style w:type="character" w:customStyle="1" w:styleId="12">
    <w:name w:val="标题 2 Char"/>
    <w:basedOn w:val="11"/>
    <w:link w:val="6"/>
    <w:semiHidden/>
    <w:qFormat/>
    <w:uiPriority w:val="0"/>
    <w:rPr>
      <w:rFonts w:ascii="Times New Roman" w:hAnsi="Times New Roman" w:eastAsia="黑体"/>
      <w:b/>
      <w:bCs/>
      <w:kern w:val="2"/>
      <w:sz w:val="30"/>
      <w:szCs w:val="32"/>
    </w:rPr>
  </w:style>
  <w:style w:type="character" w:customStyle="1" w:styleId="13">
    <w:name w:val="标题 3 Char"/>
    <w:link w:val="7"/>
    <w:qFormat/>
    <w:uiPriority w:val="0"/>
    <w:rPr>
      <w:rFonts w:ascii="Times New Roman" w:hAnsi="Times New Roman" w:eastAsia="宋体"/>
      <w:b/>
      <w:bCs/>
      <w:kern w:val="2"/>
      <w:sz w:val="24"/>
      <w:szCs w:val="32"/>
    </w:rPr>
  </w:style>
  <w:style w:type="character" w:customStyle="1" w:styleId="14">
    <w:name w:val="标题 1 Char"/>
    <w:link w:val="5"/>
    <w:qFormat/>
    <w:uiPriority w:val="0"/>
    <w:rPr>
      <w:rFonts w:ascii="Times New Roman" w:hAnsi="Times New Roman" w:eastAsia="黑体"/>
      <w:b/>
      <w:bCs/>
      <w:kern w:val="44"/>
      <w:sz w:val="30"/>
      <w:szCs w:val="44"/>
    </w:rPr>
  </w:style>
  <w:style w:type="paragraph" w:customStyle="1" w:styleId="15">
    <w:name w:val="_Style 1"/>
    <w:qFormat/>
    <w:uiPriority w:val="1"/>
    <w:pPr>
      <w:adjustRightInd w:val="0"/>
      <w:snapToGrid w:val="0"/>
      <w:spacing w:line="360" w:lineRule="auto"/>
      <w:jc w:val="center"/>
    </w:pPr>
    <w:rPr>
      <w:rFonts w:ascii="Tahoma" w:hAnsi="Tahoma" w:eastAsia="宋体" w:cs="Times New Roman"/>
      <w:sz w:val="24"/>
      <w:szCs w:val="22"/>
      <w:lang w:val="en-US" w:eastAsia="zh-CN" w:bidi="ar-SA"/>
    </w:rPr>
  </w:style>
  <w:style w:type="paragraph" w:customStyle="1" w:styleId="16">
    <w:name w:val="表内容"/>
    <w:basedOn w:val="1"/>
    <w:qFormat/>
    <w:uiPriority w:val="0"/>
    <w:pPr>
      <w:jc w:val="center"/>
    </w:pPr>
    <w:rPr>
      <w:rFonts w:eastAsia="宋体"/>
      <w:sz w:val="21"/>
      <w:szCs w:val="22"/>
    </w:rPr>
  </w:style>
  <w:style w:type="character" w:customStyle="1" w:styleId="17">
    <w:name w:val="font61"/>
    <w:basedOn w:val="11"/>
    <w:qFormat/>
    <w:uiPriority w:val="0"/>
    <w:rPr>
      <w:rFonts w:hint="eastAsia" w:ascii="宋体" w:hAnsi="宋体" w:eastAsia="宋体" w:cs="宋体"/>
      <w:color w:val="000000"/>
      <w:sz w:val="20"/>
      <w:szCs w:val="20"/>
      <w:u w:val="none"/>
    </w:rPr>
  </w:style>
  <w:style w:type="character" w:customStyle="1" w:styleId="18">
    <w:name w:val="font51"/>
    <w:basedOn w:val="11"/>
    <w:qFormat/>
    <w:uiPriority w:val="0"/>
    <w:rPr>
      <w:rFonts w:hint="default" w:ascii="Times New Roman" w:hAnsi="Times New Roman" w:cs="Times New Roman"/>
      <w:color w:val="000000"/>
      <w:sz w:val="20"/>
      <w:szCs w:val="20"/>
      <w:u w:val="none"/>
    </w:rPr>
  </w:style>
  <w:style w:type="character" w:customStyle="1" w:styleId="19">
    <w:name w:val="font11"/>
    <w:basedOn w:val="11"/>
    <w:qFormat/>
    <w:uiPriority w:val="0"/>
    <w:rPr>
      <w:rFonts w:hint="eastAsia" w:ascii="仿宋_GB2312" w:eastAsia="仿宋_GB2312" w:cs="仿宋_GB2312"/>
      <w:b/>
      <w:bCs/>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3294</Words>
  <Characters>4250</Characters>
  <Lines>0</Lines>
  <Paragraphs>0</Paragraphs>
  <TotalTime>6</TotalTime>
  <ScaleCrop>false</ScaleCrop>
  <LinksUpToDate>false</LinksUpToDate>
  <CharactersWithSpaces>4253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2020-09-21T01:52:00Z</dcterms:created>
  <dc:creator>低調媞因不再天真</dc:creator>
  <cp:lastModifiedBy>一缕霞光</cp:lastModifiedBy>
  <dcterms:modified xsi:type="dcterms:W3CDTF">2023-06-29T08:34:42Z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4795101ED3314E04B6AD12B2FC351207_13</vt:lpwstr>
  </property>
</Properties>
</file>