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桃江县201</w:t>
      </w:r>
      <w:r>
        <w:rPr>
          <w:rFonts w:hint="eastAsia" w:eastAsia="方正小标宋简体"/>
          <w:bCs/>
          <w:kern w:val="0"/>
          <w:sz w:val="44"/>
          <w:szCs w:val="44"/>
          <w:lang w:val="en-US" w:eastAsia="zh-CN"/>
        </w:rPr>
        <w:t>9</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 xml:space="preserve">评价单位（盖章）： </w:t>
      </w:r>
      <w:r>
        <w:rPr>
          <w:rFonts w:hint="eastAsia" w:eastAsia="宋体"/>
          <w:kern w:val="0"/>
          <w:sz w:val="24"/>
          <w:lang w:eastAsia="zh-CN"/>
        </w:rPr>
        <w:t>高桥镇人民政府</w:t>
      </w:r>
      <w:r>
        <w:rPr>
          <w:rFonts w:eastAsia="宋体"/>
          <w:kern w:val="0"/>
          <w:sz w:val="24"/>
        </w:rPr>
        <w:t xml:space="preserve">                                                       填报日期：</w:t>
      </w:r>
      <w:r>
        <w:rPr>
          <w:rFonts w:hint="eastAsia" w:eastAsia="宋体"/>
          <w:kern w:val="0"/>
          <w:sz w:val="24"/>
          <w:lang w:val="en-US" w:eastAsia="zh-CN"/>
        </w:rPr>
        <w:t>2020</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20</w:t>
      </w:r>
      <w:r>
        <w:rPr>
          <w:rFonts w:eastAsia="宋体"/>
          <w:kern w:val="0"/>
          <w:sz w:val="24"/>
        </w:rPr>
        <w:t>日</w:t>
      </w:r>
    </w:p>
    <w:tbl>
      <w:tblPr>
        <w:tblStyle w:val="5"/>
        <w:tblW w:w="1618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1"/>
        <w:gridCol w:w="1315"/>
        <w:gridCol w:w="4359"/>
        <w:gridCol w:w="6471"/>
        <w:gridCol w:w="583"/>
        <w:gridCol w:w="7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7" w:type="dxa"/>
            <w:vMerge w:val="restart"/>
            <w:vAlign w:val="center"/>
          </w:tcPr>
          <w:p>
            <w:pPr>
              <w:widowControl/>
              <w:spacing w:line="300" w:lineRule="exact"/>
              <w:jc w:val="center"/>
              <w:rPr>
                <w:rFonts w:eastAsia="黑体"/>
                <w:bCs/>
                <w:kern w:val="0"/>
                <w:sz w:val="24"/>
              </w:rPr>
            </w:pPr>
            <w:r>
              <w:rPr>
                <w:rFonts w:eastAsia="黑体"/>
                <w:bCs/>
                <w:kern w:val="0"/>
                <w:sz w:val="24"/>
              </w:rPr>
              <w:t>一级指标</w:t>
            </w:r>
          </w:p>
        </w:tc>
        <w:tc>
          <w:tcPr>
            <w:tcW w:w="1131" w:type="dxa"/>
            <w:vMerge w:val="restart"/>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315" w:type="dxa"/>
            <w:vMerge w:val="restart"/>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59" w:type="dxa"/>
            <w:vMerge w:val="restart"/>
            <w:vAlign w:val="center"/>
          </w:tcPr>
          <w:p>
            <w:pPr>
              <w:widowControl/>
              <w:spacing w:line="300" w:lineRule="exact"/>
              <w:jc w:val="center"/>
              <w:rPr>
                <w:rFonts w:eastAsia="黑体"/>
                <w:bCs/>
                <w:kern w:val="0"/>
                <w:sz w:val="24"/>
              </w:rPr>
            </w:pPr>
            <w:r>
              <w:rPr>
                <w:rFonts w:eastAsia="黑体"/>
                <w:bCs/>
                <w:kern w:val="0"/>
                <w:sz w:val="24"/>
              </w:rPr>
              <w:t>指标内容</w:t>
            </w:r>
          </w:p>
        </w:tc>
        <w:tc>
          <w:tcPr>
            <w:tcW w:w="6471" w:type="dxa"/>
            <w:vMerge w:val="restart"/>
            <w:vAlign w:val="center"/>
          </w:tcPr>
          <w:p>
            <w:pPr>
              <w:widowControl/>
              <w:spacing w:line="300" w:lineRule="exact"/>
              <w:jc w:val="center"/>
              <w:rPr>
                <w:rFonts w:eastAsia="黑体"/>
                <w:bCs/>
                <w:kern w:val="0"/>
                <w:sz w:val="24"/>
              </w:rPr>
            </w:pPr>
            <w:r>
              <w:rPr>
                <w:rFonts w:eastAsia="黑体"/>
                <w:bCs/>
                <w:kern w:val="0"/>
                <w:sz w:val="24"/>
              </w:rPr>
              <w:t>指标说明</w:t>
            </w:r>
          </w:p>
        </w:tc>
        <w:tc>
          <w:tcPr>
            <w:tcW w:w="583" w:type="dxa"/>
            <w:vMerge w:val="restart"/>
            <w:vAlign w:val="center"/>
          </w:tcPr>
          <w:p>
            <w:pPr>
              <w:widowControl/>
              <w:spacing w:line="300" w:lineRule="exact"/>
              <w:jc w:val="center"/>
              <w:rPr>
                <w:rFonts w:eastAsia="黑体"/>
                <w:bCs/>
                <w:kern w:val="0"/>
                <w:sz w:val="24"/>
              </w:rPr>
            </w:pPr>
            <w:r>
              <w:rPr>
                <w:rFonts w:eastAsia="黑体"/>
                <w:bCs/>
                <w:kern w:val="0"/>
                <w:sz w:val="24"/>
              </w:rPr>
              <w:t>分值</w:t>
            </w:r>
          </w:p>
        </w:tc>
        <w:tc>
          <w:tcPr>
            <w:tcW w:w="707" w:type="dxa"/>
            <w:vMerge w:val="restart"/>
            <w:vAlign w:val="center"/>
          </w:tcPr>
          <w:p>
            <w:pPr>
              <w:widowControl/>
              <w:spacing w:line="300" w:lineRule="exact"/>
              <w:jc w:val="center"/>
              <w:rPr>
                <w:rFonts w:eastAsia="黑体"/>
                <w:bCs/>
                <w:kern w:val="0"/>
                <w:sz w:val="24"/>
              </w:rPr>
            </w:pPr>
            <w:r>
              <w:rPr>
                <w:rFonts w:eastAsia="黑体"/>
                <w:bCs/>
                <w:kern w:val="0"/>
                <w:sz w:val="24"/>
              </w:rPr>
              <w:t>自评得分</w:t>
            </w:r>
          </w:p>
        </w:tc>
        <w:tc>
          <w:tcPr>
            <w:tcW w:w="741" w:type="dxa"/>
            <w:vMerge w:val="restart"/>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7" w:type="dxa"/>
            <w:vMerge w:val="continue"/>
            <w:vAlign w:val="center"/>
          </w:tcPr>
          <w:p>
            <w:pPr>
              <w:widowControl/>
              <w:spacing w:line="300" w:lineRule="exact"/>
              <w:jc w:val="left"/>
              <w:rPr>
                <w:rFonts w:eastAsia="宋体"/>
                <w:b/>
                <w:bCs/>
                <w:kern w:val="0"/>
                <w:sz w:val="24"/>
              </w:rPr>
            </w:pPr>
          </w:p>
        </w:tc>
        <w:tc>
          <w:tcPr>
            <w:tcW w:w="1131" w:type="dxa"/>
            <w:vMerge w:val="continue"/>
            <w:vAlign w:val="center"/>
          </w:tcPr>
          <w:p>
            <w:pPr>
              <w:widowControl/>
              <w:spacing w:line="300" w:lineRule="exact"/>
              <w:jc w:val="left"/>
              <w:rPr>
                <w:rFonts w:eastAsia="宋体"/>
                <w:b/>
                <w:bCs/>
                <w:kern w:val="0"/>
                <w:sz w:val="24"/>
              </w:rPr>
            </w:pPr>
          </w:p>
        </w:tc>
        <w:tc>
          <w:tcPr>
            <w:tcW w:w="1315" w:type="dxa"/>
            <w:vMerge w:val="continue"/>
            <w:vAlign w:val="center"/>
          </w:tcPr>
          <w:p>
            <w:pPr>
              <w:widowControl/>
              <w:spacing w:line="300" w:lineRule="exact"/>
              <w:jc w:val="left"/>
              <w:rPr>
                <w:rFonts w:eastAsia="宋体"/>
                <w:b/>
                <w:bCs/>
                <w:kern w:val="0"/>
                <w:sz w:val="24"/>
              </w:rPr>
            </w:pPr>
          </w:p>
        </w:tc>
        <w:tc>
          <w:tcPr>
            <w:tcW w:w="4359" w:type="dxa"/>
            <w:vMerge w:val="continue"/>
            <w:vAlign w:val="center"/>
          </w:tcPr>
          <w:p>
            <w:pPr>
              <w:widowControl/>
              <w:spacing w:line="300" w:lineRule="exact"/>
              <w:jc w:val="left"/>
              <w:rPr>
                <w:rFonts w:eastAsia="宋体"/>
                <w:b/>
                <w:bCs/>
                <w:kern w:val="0"/>
                <w:sz w:val="24"/>
              </w:rPr>
            </w:pPr>
          </w:p>
        </w:tc>
        <w:tc>
          <w:tcPr>
            <w:tcW w:w="6471" w:type="dxa"/>
            <w:vMerge w:val="continue"/>
            <w:vAlign w:val="center"/>
          </w:tcPr>
          <w:p>
            <w:pPr>
              <w:widowControl/>
              <w:spacing w:line="300" w:lineRule="exact"/>
              <w:jc w:val="left"/>
              <w:rPr>
                <w:rFonts w:eastAsia="宋体"/>
                <w:b/>
                <w:bCs/>
                <w:kern w:val="0"/>
                <w:sz w:val="24"/>
              </w:rPr>
            </w:pPr>
          </w:p>
        </w:tc>
        <w:tc>
          <w:tcPr>
            <w:tcW w:w="583" w:type="dxa"/>
            <w:vMerge w:val="continue"/>
            <w:vAlign w:val="center"/>
          </w:tcPr>
          <w:p>
            <w:pPr>
              <w:widowControl/>
              <w:spacing w:line="300" w:lineRule="exact"/>
              <w:jc w:val="left"/>
              <w:rPr>
                <w:rFonts w:eastAsia="宋体"/>
                <w:b/>
                <w:bCs/>
                <w:kern w:val="0"/>
                <w:sz w:val="24"/>
              </w:rPr>
            </w:pPr>
          </w:p>
        </w:tc>
        <w:tc>
          <w:tcPr>
            <w:tcW w:w="707" w:type="dxa"/>
            <w:vMerge w:val="continue"/>
            <w:vAlign w:val="center"/>
          </w:tcPr>
          <w:p>
            <w:pPr>
              <w:widowControl/>
              <w:spacing w:line="300" w:lineRule="exact"/>
              <w:jc w:val="left"/>
              <w:rPr>
                <w:rFonts w:eastAsia="宋体"/>
                <w:b/>
                <w:bCs/>
                <w:kern w:val="0"/>
                <w:sz w:val="24"/>
              </w:rPr>
            </w:pPr>
          </w:p>
        </w:tc>
        <w:tc>
          <w:tcPr>
            <w:tcW w:w="741" w:type="dxa"/>
            <w:vMerge w:val="continue"/>
            <w:vAlign w:val="center"/>
          </w:tcPr>
          <w:p>
            <w:pPr>
              <w:widowControl/>
              <w:spacing w:line="300" w:lineRule="exact"/>
              <w:jc w:val="left"/>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4"/>
              </w:rPr>
              <w:t>（10分）</w:t>
            </w:r>
          </w:p>
        </w:tc>
        <w:tc>
          <w:tcPr>
            <w:tcW w:w="1315" w:type="dxa"/>
            <w:vMerge w:val="restart"/>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（5分）</w:t>
            </w:r>
          </w:p>
          <w:p>
            <w:pPr>
              <w:widowControl/>
              <w:spacing w:line="310" w:lineRule="exact"/>
              <w:jc w:val="center"/>
              <w:rPr>
                <w:rFonts w:eastAsia="宋体"/>
                <w:kern w:val="0"/>
                <w:sz w:val="24"/>
              </w:rPr>
            </w:pP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6471" w:type="dxa"/>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b/>
                <w:bCs/>
                <w:kern w:val="0"/>
                <w:sz w:val="24"/>
              </w:rPr>
            </w:pPr>
            <w:r>
              <w:rPr>
                <w:rFonts w:eastAsia="宋体"/>
                <w:kern w:val="0"/>
                <w:sz w:val="24"/>
              </w:rPr>
              <w:t>2</w:t>
            </w:r>
          </w:p>
        </w:tc>
        <w:tc>
          <w:tcPr>
            <w:tcW w:w="741" w:type="dxa"/>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3、是否符合部门三定方案确定的职责；</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4、是否符合部门制定的中长期实施规划；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（5分）</w:t>
            </w: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6471" w:type="dxa"/>
            <w:vAlign w:val="center"/>
          </w:tcPr>
          <w:p>
            <w:pPr>
              <w:widowControl/>
              <w:spacing w:line="310" w:lineRule="exact"/>
              <w:rPr>
                <w:rFonts w:eastAsia="宋体"/>
                <w:kern w:val="0"/>
                <w:sz w:val="24"/>
              </w:rPr>
            </w:pPr>
            <w:r>
              <w:rPr>
                <w:rFonts w:eastAsia="宋体"/>
                <w:kern w:val="0"/>
                <w:sz w:val="24"/>
              </w:rPr>
              <w:t>1、指标设置是否清晰、细化、可衡量；</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4"/>
              </w:rPr>
              <w:t>（10分）</w:t>
            </w:r>
          </w:p>
        </w:tc>
        <w:tc>
          <w:tcPr>
            <w:tcW w:w="1315" w:type="dxa"/>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6471" w:type="dxa"/>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6471" w:type="dxa"/>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上年度“三公经费”总额]×100%。大于0的计0分，等于0的计3分，小于0的计4分。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（4分）</w:t>
            </w:r>
          </w:p>
        </w:tc>
        <w:tc>
          <w:tcPr>
            <w:tcW w:w="4359" w:type="dxa"/>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6471" w:type="dxa"/>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项目总支出总额）×100%。80%及以上计满分，60%及以上计3分，40%及以上计2分，40%以下的计1分。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eastAsia="宋体"/>
                <w:kern w:val="0"/>
                <w:sz w:val="24"/>
              </w:rPr>
              <w:t>4</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4"/>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4"/>
              </w:rPr>
              <w:t>（15分）</w:t>
            </w:r>
          </w:p>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部门本年度预算完成数与预算数的比率，反映部门预算完成程度。</w:t>
            </w:r>
          </w:p>
        </w:tc>
        <w:tc>
          <w:tcPr>
            <w:tcW w:w="6471" w:type="dxa"/>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（4分）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6471" w:type="dxa"/>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hint="eastAsia" w:eastAsia="宋体"/>
                <w:kern w:val="0"/>
                <w:sz w:val="24"/>
                <w:lang w:val="en-US" w:eastAsia="zh-CN"/>
              </w:rPr>
              <w:t>3.9</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6471" w:type="dxa"/>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部门本年度结转结余总额与支出预算数的比率。</w:t>
            </w:r>
          </w:p>
        </w:tc>
        <w:tc>
          <w:tcPr>
            <w:tcW w:w="6471" w:type="dxa"/>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公用经费控制率   （2分）</w:t>
            </w:r>
          </w:p>
        </w:tc>
        <w:tc>
          <w:tcPr>
            <w:tcW w:w="4359" w:type="dxa"/>
            <w:vAlign w:val="center"/>
          </w:tcPr>
          <w:p>
            <w:pPr>
              <w:widowControl/>
              <w:spacing w:line="32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6471" w:type="dxa"/>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6471" w:type="dxa"/>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部门本年度实际政府采购金额与年初政府采购预算的比率。</w:t>
            </w:r>
          </w:p>
        </w:tc>
        <w:tc>
          <w:tcPr>
            <w:tcW w:w="6471" w:type="dxa"/>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投资评审执行率</w:t>
            </w:r>
          </w:p>
          <w:p>
            <w:pPr>
              <w:widowControl/>
              <w:spacing w:line="320" w:lineRule="exact"/>
              <w:jc w:val="center"/>
              <w:rPr>
                <w:rFonts w:eastAsia="宋体"/>
                <w:kern w:val="0"/>
                <w:sz w:val="24"/>
              </w:rPr>
            </w:pP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部门本年度实际进行投资评审的项目金额与应进行投资评审的项目金额的比率。</w:t>
            </w:r>
          </w:p>
        </w:tc>
        <w:tc>
          <w:tcPr>
            <w:tcW w:w="6471" w:type="dxa"/>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4"/>
              </w:rPr>
              <w:t>（18分）</w:t>
            </w:r>
          </w:p>
        </w:tc>
        <w:tc>
          <w:tcPr>
            <w:tcW w:w="1315" w:type="dxa"/>
            <w:vMerge w:val="restart"/>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6471" w:type="dxa"/>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2、相关制度是否合法、合规、完整；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3、相关制度是否得到有效执行；</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4、制度执行机构是否健全；</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6471" w:type="dxa"/>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3、重大开支是否经过评估论证；</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4、资金拨付是否程序规范、手续齐备；</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color w:val="FF0000"/>
                <w:kern w:val="0"/>
                <w:sz w:val="24"/>
              </w:rPr>
            </w:pPr>
          </w:p>
        </w:tc>
        <w:tc>
          <w:tcPr>
            <w:tcW w:w="1315" w:type="dxa"/>
            <w:vMerge w:val="restart"/>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（4分）</w:t>
            </w:r>
          </w:p>
        </w:tc>
        <w:tc>
          <w:tcPr>
            <w:tcW w:w="4359" w:type="dxa"/>
            <w:vMerge w:val="restart"/>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6471" w:type="dxa"/>
            <w:vAlign w:val="top"/>
          </w:tcPr>
          <w:p>
            <w:pPr>
              <w:spacing w:line="370" w:lineRule="exact"/>
              <w:rPr>
                <w:rFonts w:eastAsia="宋体"/>
                <w:kern w:val="0"/>
                <w:sz w:val="24"/>
              </w:rPr>
            </w:pPr>
            <w:r>
              <w:rPr>
                <w:rFonts w:eastAsia="宋体"/>
                <w:sz w:val="24"/>
              </w:rPr>
              <w:t>1、是否已制定或具有绩效管理制度；</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3、绩效管理制度是否有效落实；</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4、是否按要求开展绩效管理工作。</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6471" w:type="dxa"/>
            <w:vAlign w:val="center"/>
          </w:tcPr>
          <w:p>
            <w:pPr>
              <w:widowControl/>
              <w:spacing w:line="300" w:lineRule="exact"/>
              <w:rPr>
                <w:rFonts w:eastAsia="宋体"/>
                <w:kern w:val="0"/>
                <w:sz w:val="24"/>
              </w:rPr>
            </w:pPr>
            <w:r>
              <w:rPr>
                <w:rFonts w:eastAsia="宋体"/>
                <w:kern w:val="0"/>
                <w:sz w:val="24"/>
              </w:rPr>
              <w:t>1、基础数据信息和会计信息资料是否真实、准确、完整；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4"/>
              </w:rPr>
              <w:t>（40分）</w:t>
            </w:r>
          </w:p>
          <w:p>
            <w:pPr>
              <w:widowControl/>
              <w:spacing w:line="360" w:lineRule="exact"/>
              <w:jc w:val="center"/>
              <w:rPr>
                <w:rFonts w:eastAsia="宋体"/>
                <w:kern w:val="0"/>
                <w:sz w:val="24"/>
              </w:rPr>
            </w:pP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（7分）</w:t>
            </w:r>
          </w:p>
        </w:tc>
        <w:tc>
          <w:tcPr>
            <w:tcW w:w="1315" w:type="dxa"/>
            <w:vMerge w:val="restart"/>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（2分）</w:t>
            </w:r>
          </w:p>
        </w:tc>
        <w:tc>
          <w:tcPr>
            <w:tcW w:w="4359" w:type="dxa"/>
            <w:vMerge w:val="restart"/>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6471" w:type="dxa"/>
            <w:vAlign w:val="center"/>
          </w:tcPr>
          <w:p>
            <w:pPr>
              <w:spacing w:line="370" w:lineRule="exact"/>
              <w:rPr>
                <w:rFonts w:eastAsia="宋体"/>
                <w:kern w:val="0"/>
                <w:sz w:val="24"/>
              </w:rPr>
            </w:pPr>
            <w:r>
              <w:rPr>
                <w:rFonts w:eastAsia="宋体"/>
                <w:sz w:val="24"/>
              </w:rPr>
              <w:t>1. 是否已制定或具有合法、合规、完整的资产管理制度；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sz w:val="24"/>
              </w:rPr>
              <w:t>2. 制度是否得到有效执行；</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restart"/>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（4分）</w:t>
            </w:r>
          </w:p>
        </w:tc>
        <w:tc>
          <w:tcPr>
            <w:tcW w:w="4359" w:type="dxa"/>
            <w:vMerge w:val="restart"/>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6471" w:type="dxa"/>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restart"/>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41" w:type="dxa"/>
            <w:vMerge w:val="restart"/>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kern w:val="0"/>
                <w:sz w:val="24"/>
              </w:rPr>
              <w:t>3、</w:t>
            </w:r>
            <w:r>
              <w:rPr>
                <w:rFonts w:eastAsia="宋体"/>
                <w:sz w:val="24"/>
              </w:rPr>
              <w:t xml:space="preserve">资产配置是否合理，是否得到有效利用； </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kern w:val="0"/>
                <w:sz w:val="24"/>
              </w:rPr>
            </w:pPr>
          </w:p>
        </w:tc>
        <w:tc>
          <w:tcPr>
            <w:tcW w:w="1131" w:type="dxa"/>
            <w:vMerge w:val="continue"/>
            <w:vAlign w:val="center"/>
          </w:tcPr>
          <w:p>
            <w:pPr>
              <w:widowControl/>
              <w:spacing w:line="400" w:lineRule="exac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kern w:val="0"/>
                <w:sz w:val="24"/>
              </w:rPr>
              <w:t>4、</w:t>
            </w:r>
            <w:r>
              <w:rPr>
                <w:rFonts w:eastAsia="宋体"/>
                <w:sz w:val="24"/>
              </w:rPr>
              <w:t>资产处置是否规范，处置收入及时足额上缴。</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4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59" w:type="dxa"/>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6471" w:type="dxa"/>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2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质量</w:t>
            </w:r>
          </w:p>
          <w:p>
            <w:pPr>
              <w:widowControl/>
              <w:spacing w:line="32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6471" w:type="dxa"/>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6471" w:type="dxa"/>
            <w:vMerge w:val="restart"/>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社会效益 （5分）</w:t>
            </w:r>
          </w:p>
        </w:tc>
        <w:tc>
          <w:tcPr>
            <w:tcW w:w="4359" w:type="dxa"/>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6471" w:type="dxa"/>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53" w:type="dxa"/>
            <w:gridSpan w:val="5"/>
            <w:vAlign w:val="center"/>
          </w:tcPr>
          <w:p>
            <w:pPr>
              <w:widowControl/>
              <w:spacing w:line="360" w:lineRule="exact"/>
              <w:jc w:val="center"/>
              <w:rPr>
                <w:rFonts w:eastAsia="宋体"/>
                <w:b/>
                <w:bCs/>
                <w:kern w:val="0"/>
                <w:sz w:val="24"/>
              </w:rPr>
            </w:pPr>
            <w:r>
              <w:rPr>
                <w:rFonts w:eastAsia="宋体"/>
                <w:b/>
                <w:bCs/>
                <w:kern w:val="0"/>
                <w:sz w:val="24"/>
              </w:rPr>
              <w:t>总  分</w:t>
            </w:r>
          </w:p>
        </w:tc>
        <w:tc>
          <w:tcPr>
            <w:tcW w:w="583" w:type="dxa"/>
            <w:vAlign w:val="center"/>
          </w:tcPr>
          <w:p>
            <w:pPr>
              <w:widowControl/>
              <w:spacing w:line="360" w:lineRule="exact"/>
              <w:jc w:val="center"/>
              <w:rPr>
                <w:rFonts w:eastAsia="宋体"/>
                <w:kern w:val="0"/>
                <w:sz w:val="24"/>
              </w:rPr>
            </w:pPr>
            <w:r>
              <w:rPr>
                <w:rFonts w:eastAsia="宋体"/>
                <w:kern w:val="0"/>
                <w:sz w:val="24"/>
              </w:rPr>
              <w:t>100</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6</w:t>
    </w:r>
    <w:r>
      <w:rPr>
        <w:sz w:val="28"/>
        <w:szCs w:val="28"/>
      </w:rPr>
      <w:fldChar w:fldCharType="end"/>
    </w:r>
    <w:r>
      <w:rPr>
        <w:rFonts w:hint="eastAsia"/>
        <w:sz w:val="28"/>
        <w:szCs w:val="28"/>
      </w:rPr>
      <w:t xml:space="preserve"> </w:t>
    </w:r>
    <w:r>
      <w:rPr>
        <w:rStyle w:val="4"/>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E6E0C"/>
    <w:rsid w:val="521E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2014-08-20T18:40:00Z</dcterms:created>
  <dc:creator>nn</dc:creator>
  <cp:lastModifiedBy>nn</cp:lastModifiedBy>
  <dcterms:modified xsi:type="dcterms:W3CDTF">2014-08-20T18:40:43Z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